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88" w:lineRule="auto"/>
        <w:jc w:val="center"/>
        <w:rPr>
          <w:rFonts w:hint="eastAsia" w:ascii="宋体" w:hAnsi="宋体" w:cs="Arial"/>
          <w:b/>
          <w:color w:val="000000"/>
          <w:kern w:val="0"/>
          <w:sz w:val="44"/>
          <w:szCs w:val="44"/>
        </w:rPr>
      </w:pPr>
    </w:p>
    <w:p>
      <w:pPr>
        <w:widowControl/>
        <w:wordWrap w:val="0"/>
        <w:spacing w:line="288" w:lineRule="auto"/>
        <w:jc w:val="center"/>
        <w:rPr>
          <w:rFonts w:hint="eastAsia" w:ascii="宋体" w:hAnsi="宋体" w:cs="Arial"/>
          <w:b/>
          <w:color w:val="000000"/>
          <w:kern w:val="0"/>
          <w:sz w:val="44"/>
          <w:szCs w:val="44"/>
        </w:rPr>
      </w:pPr>
      <w:r>
        <w:rPr>
          <w:rFonts w:hint="eastAsia" w:ascii="宋体" w:hAnsi="宋体" w:cs="Arial"/>
          <w:b/>
          <w:color w:val="000000"/>
          <w:kern w:val="0"/>
          <w:sz w:val="44"/>
          <w:szCs w:val="44"/>
        </w:rPr>
        <w:t>甘肃省省级质检中心</w:t>
      </w:r>
    </w:p>
    <w:p>
      <w:pPr>
        <w:widowControl/>
        <w:wordWrap w:val="0"/>
        <w:spacing w:line="288" w:lineRule="auto"/>
        <w:jc w:val="center"/>
        <w:rPr>
          <w:rFonts w:hint="eastAsia" w:ascii="宋体" w:hAnsi="宋体" w:cs="Arial"/>
          <w:b/>
          <w:color w:val="000000"/>
          <w:kern w:val="0"/>
          <w:sz w:val="44"/>
          <w:szCs w:val="44"/>
        </w:rPr>
      </w:pPr>
      <w:r>
        <w:rPr>
          <w:rFonts w:hint="eastAsia" w:ascii="宋体" w:hAnsi="宋体" w:cs="Arial"/>
          <w:b/>
          <w:color w:val="000000"/>
          <w:kern w:val="0"/>
          <w:sz w:val="44"/>
          <w:szCs w:val="44"/>
        </w:rPr>
        <w:t>能力建设评估指南</w:t>
      </w:r>
    </w:p>
    <w:p>
      <w:pPr>
        <w:widowControl/>
        <w:wordWrap w:val="0"/>
        <w:spacing w:line="288" w:lineRule="auto"/>
        <w:ind w:firstLine="2731" w:firstLineChars="850"/>
        <w:rPr>
          <w:rFonts w:hint="eastAsia" w:ascii="仿宋_GB2312" w:hAnsi="宋体" w:eastAsia="仿宋_GB2312" w:cs="Arial"/>
          <w:b/>
          <w:bCs/>
          <w:smallCaps/>
          <w:color w:val="000000"/>
          <w:kern w:val="0"/>
          <w:sz w:val="32"/>
          <w:szCs w:val="32"/>
        </w:rPr>
      </w:pPr>
      <w:r>
        <w:rPr>
          <w:rFonts w:hint="eastAsia" w:ascii="仿宋_GB2312" w:hAnsi="宋体" w:eastAsia="仿宋_GB2312" w:cs="Arial"/>
          <w:b/>
          <w:bCs/>
          <w:smallCaps/>
          <w:color w:val="000000"/>
          <w:kern w:val="0"/>
          <w:sz w:val="32"/>
          <w:szCs w:val="32"/>
        </w:rPr>
        <w:t xml:space="preserve">   第一章　总则</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0" w:name="15"/>
      <w:r>
        <w:rPr>
          <w:rFonts w:hint="eastAsia" w:ascii="仿宋_GB2312" w:hAnsi="宋体" w:eastAsia="仿宋_GB2312" w:cs="Arial"/>
          <w:b/>
          <w:bCs/>
          <w:smallCaps/>
          <w:color w:val="000000"/>
          <w:kern w:val="0"/>
          <w:sz w:val="32"/>
          <w:szCs w:val="32"/>
        </w:rPr>
        <w:t>第一条</w:t>
      </w:r>
      <w:bookmarkEnd w:id="0"/>
      <w:r>
        <w:rPr>
          <w:rFonts w:hint="eastAsia" w:ascii="仿宋_GB2312" w:hAnsi="Arial" w:eastAsia="仿宋_GB2312" w:cs="Arial"/>
          <w:color w:val="000000"/>
          <w:kern w:val="0"/>
          <w:sz w:val="32"/>
          <w:szCs w:val="32"/>
        </w:rPr>
        <w:t>　为规范、促进和指导甘肃省省级质检中心的建设与发展，实现省级质检中心在本行业或专业达到省内领先的目标，特制定本《指南》。</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1" w:name="16"/>
      <w:r>
        <w:rPr>
          <w:rFonts w:hint="eastAsia" w:ascii="仿宋_GB2312" w:hAnsi="宋体" w:eastAsia="仿宋_GB2312" w:cs="Arial"/>
          <w:b/>
          <w:bCs/>
          <w:smallCaps/>
          <w:color w:val="000000"/>
          <w:kern w:val="0"/>
          <w:sz w:val="32"/>
          <w:szCs w:val="32"/>
        </w:rPr>
        <w:t>第二条</w:t>
      </w:r>
      <w:bookmarkEnd w:id="1"/>
      <w:r>
        <w:rPr>
          <w:rFonts w:hint="eastAsia" w:ascii="仿宋_GB2312" w:hAnsi="Arial" w:eastAsia="仿宋_GB2312" w:cs="Arial"/>
          <w:color w:val="000000"/>
          <w:kern w:val="0"/>
          <w:sz w:val="32"/>
          <w:szCs w:val="32"/>
        </w:rPr>
        <w:t>　省级质检中心的规划、建设与发展必须始终坚持五条基本原则：发挥技术优势、服务主导产业、争取地方支持、避免重复建设、建设一流中心。</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2" w:name="17"/>
      <w:r>
        <w:rPr>
          <w:rFonts w:hint="eastAsia" w:ascii="仿宋_GB2312" w:hAnsi="宋体" w:eastAsia="仿宋_GB2312" w:cs="Arial"/>
          <w:b/>
          <w:bCs/>
          <w:smallCaps/>
          <w:color w:val="000000"/>
          <w:kern w:val="0"/>
          <w:sz w:val="32"/>
          <w:szCs w:val="32"/>
        </w:rPr>
        <w:t>第三条</w:t>
      </w:r>
      <w:bookmarkEnd w:id="2"/>
      <w:r>
        <w:rPr>
          <w:rFonts w:hint="eastAsia" w:ascii="仿宋_GB2312" w:hAnsi="Arial" w:eastAsia="仿宋_GB2312" w:cs="Arial"/>
          <w:color w:val="000000"/>
          <w:kern w:val="0"/>
          <w:sz w:val="32"/>
          <w:szCs w:val="32"/>
        </w:rPr>
        <w:t>　本《指南》对省级质检中心的能力建设评估做出了基本要求，通过建立年度考核与日常监督相结合的管理机制，实现对省级质检中心能力建设的绩效考评。</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3" w:name="18"/>
      <w:r>
        <w:rPr>
          <w:rFonts w:hint="eastAsia" w:ascii="仿宋_GB2312" w:hAnsi="宋体" w:eastAsia="仿宋_GB2312" w:cs="Arial"/>
          <w:b/>
          <w:bCs/>
          <w:smallCaps/>
          <w:color w:val="000000"/>
          <w:kern w:val="0"/>
          <w:sz w:val="32"/>
          <w:szCs w:val="32"/>
        </w:rPr>
        <w:t>第四条</w:t>
      </w:r>
      <w:bookmarkEnd w:id="3"/>
      <w:r>
        <w:rPr>
          <w:rFonts w:hint="eastAsia" w:ascii="仿宋_GB2312" w:hAnsi="Arial" w:eastAsia="仿宋_GB2312" w:cs="Arial"/>
          <w:color w:val="000000"/>
          <w:kern w:val="0"/>
          <w:sz w:val="32"/>
          <w:szCs w:val="32"/>
        </w:rPr>
        <w:t>　本《指南》适用于</w:t>
      </w:r>
      <w:r>
        <w:rPr>
          <w:rFonts w:hint="eastAsia" w:ascii="仿宋_GB2312" w:hAnsi="Arial" w:eastAsia="仿宋_GB2312" w:cs="Arial"/>
          <w:kern w:val="0"/>
          <w:sz w:val="32"/>
          <w:szCs w:val="32"/>
        </w:rPr>
        <w:t>已批准成立和批准</w:t>
      </w:r>
      <w:r>
        <w:rPr>
          <w:rFonts w:hint="eastAsia" w:ascii="仿宋_GB2312" w:hAnsi="Arial" w:eastAsia="仿宋_GB2312" w:cs="Arial"/>
          <w:color w:val="000000"/>
          <w:kern w:val="0"/>
          <w:sz w:val="32"/>
          <w:szCs w:val="32"/>
        </w:rPr>
        <w:t>筹建的省级质检中心的能力建设评估工作。</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4" w:name="19"/>
      <w:r>
        <w:rPr>
          <w:rFonts w:hint="eastAsia" w:ascii="仿宋_GB2312" w:hAnsi="宋体" w:eastAsia="仿宋_GB2312" w:cs="Arial"/>
          <w:b/>
          <w:bCs/>
          <w:smallCaps/>
          <w:color w:val="000000"/>
          <w:kern w:val="0"/>
          <w:sz w:val="32"/>
          <w:szCs w:val="32"/>
        </w:rPr>
        <w:t>第五条</w:t>
      </w:r>
      <w:bookmarkEnd w:id="4"/>
      <w:r>
        <w:rPr>
          <w:rFonts w:hint="eastAsia" w:ascii="仿宋_GB2312" w:hAnsi="Arial" w:eastAsia="仿宋_GB2312" w:cs="Arial"/>
          <w:color w:val="000000"/>
          <w:kern w:val="0"/>
          <w:sz w:val="32"/>
          <w:szCs w:val="32"/>
        </w:rPr>
        <w:t xml:space="preserve">　省局科技与信息化处会同相关处室负责组织开展省级质检中心的能力建设评估工作。 </w:t>
      </w:r>
    </w:p>
    <w:p>
      <w:pPr>
        <w:widowControl/>
        <w:wordWrap w:val="0"/>
        <w:spacing w:line="288" w:lineRule="auto"/>
        <w:jc w:val="center"/>
        <w:rPr>
          <w:rFonts w:hint="eastAsia" w:ascii="仿宋_GB2312" w:hAnsi="宋体" w:eastAsia="仿宋_GB2312" w:cs="Arial"/>
          <w:b/>
          <w:bCs/>
          <w:smallCaps/>
          <w:color w:val="000000"/>
          <w:kern w:val="0"/>
          <w:sz w:val="32"/>
          <w:szCs w:val="32"/>
        </w:rPr>
      </w:pPr>
      <w:r>
        <w:rPr>
          <w:rFonts w:hint="eastAsia" w:ascii="仿宋_GB2312" w:hAnsi="宋体" w:eastAsia="仿宋_GB2312" w:cs="Arial"/>
          <w:b/>
          <w:bCs/>
          <w:smallCaps/>
          <w:color w:val="000000"/>
          <w:kern w:val="0"/>
          <w:sz w:val="32"/>
          <w:szCs w:val="32"/>
        </w:rPr>
        <w:t>第二章　省级质检中心能力建设的基本要求</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5" w:name="20"/>
      <w:r>
        <w:rPr>
          <w:rFonts w:hint="eastAsia" w:ascii="仿宋_GB2312" w:hAnsi="宋体" w:eastAsia="仿宋_GB2312" w:cs="Arial"/>
          <w:b/>
          <w:bCs/>
          <w:smallCaps/>
          <w:color w:val="000000"/>
          <w:kern w:val="0"/>
          <w:sz w:val="32"/>
          <w:szCs w:val="32"/>
        </w:rPr>
        <w:t>第六条</w:t>
      </w:r>
      <w:bookmarkEnd w:id="5"/>
      <w:r>
        <w:rPr>
          <w:rFonts w:hint="eastAsia" w:ascii="仿宋_GB2312" w:hAnsi="Arial" w:eastAsia="仿宋_GB2312" w:cs="Arial"/>
          <w:color w:val="000000"/>
          <w:kern w:val="0"/>
          <w:sz w:val="32"/>
          <w:szCs w:val="32"/>
        </w:rPr>
        <w:t>　基本要求主要包括技术能力、科研水平、科技人才团队、运行状况、工作业绩以及建设发展情况等。</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(一)具有必备的实验场地和环境条件，并有充足的发展空间，具备可持续发展能力。配有相关专业领域的先进仪器，配套设备、检验或验证手段齐全，仪器设备配置的总体技术水平达到省内先进水平。</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二)能够及时收集、整理和研究相关专业领域的国内外最新动态和信息，能够承担指导和解决全省相关专业领域执法把关疑难问题的工作，为政府决策和社会经济发展提供科学依据和技术支持，在相关专业领域处于全省领先水平并具有一定的技术优势。</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(三)具有在相关专业领域进行前瞻性、深层次研究的科研攻关力量，并形成一批较高水平和具有影响力的科研成果。从事科研工作的整体人员水平较高。</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四)重视科技人才团队建设，人员结构层次合理、稳定，后备力量充足，拥有省内在相关专业领域具有一定知名度的专家或高水平的学术技术带头人、熟悉掌握国内外相关法规标准和准则的关键技术人才，高中级职称技术人员比例达到40％以上。</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(五)专业化建设特点显著，在相关专业领域内具有一定的优势和特色，业务范围与当地或区域主导产业结合紧密，实现了“做专、做精”。</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xml:space="preserve">　　(六)建立了现代化的管理运行机制，具备创新和发展能力，后续建设发展有保障。信息化建设和整体运行状况良好，工作业绩突出，对区域经济乃至全省的相关产业发展具有促进作用，建立起与国内同行间畅通有效的交流渠道。 </w:t>
      </w:r>
    </w:p>
    <w:p>
      <w:pPr>
        <w:widowControl/>
        <w:spacing w:line="288" w:lineRule="auto"/>
        <w:jc w:val="center"/>
        <w:rPr>
          <w:rFonts w:hint="eastAsia" w:ascii="仿宋_GB2312" w:hAnsi="宋体" w:eastAsia="仿宋_GB2312" w:cs="Arial"/>
          <w:b/>
          <w:bCs/>
          <w:smallCaps/>
          <w:color w:val="000000"/>
          <w:kern w:val="0"/>
          <w:sz w:val="32"/>
          <w:szCs w:val="32"/>
        </w:rPr>
      </w:pPr>
      <w:r>
        <w:rPr>
          <w:rFonts w:hint="eastAsia" w:ascii="仿宋_GB2312" w:hAnsi="宋体" w:eastAsia="仿宋_GB2312" w:cs="Arial"/>
          <w:b/>
          <w:bCs/>
          <w:smallCaps/>
          <w:color w:val="000000"/>
          <w:kern w:val="0"/>
          <w:sz w:val="32"/>
          <w:szCs w:val="32"/>
        </w:rPr>
        <w:t>第三章　省级质检中心能力建设的评估指标体系</w:t>
      </w:r>
    </w:p>
    <w:p>
      <w:pPr>
        <w:widowControl/>
        <w:wordWrap w:val="0"/>
        <w:spacing w:line="288" w:lineRule="auto"/>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省局科技与信息化处会同相关处室对省级质检中心的建设与发展情况进行评估，评估的内容主要包括技术能力、科研水平、人才状况、运行状况和工作业绩、建设情况与发展能力等五个方面。</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6" w:name="21"/>
      <w:r>
        <w:rPr>
          <w:rFonts w:hint="eastAsia" w:ascii="仿宋_GB2312" w:hAnsi="宋体" w:eastAsia="仿宋_GB2312" w:cs="Arial"/>
          <w:b/>
          <w:bCs/>
          <w:smallCaps/>
          <w:color w:val="000000"/>
          <w:kern w:val="0"/>
          <w:sz w:val="32"/>
          <w:szCs w:val="32"/>
        </w:rPr>
        <w:t>第七条</w:t>
      </w:r>
      <w:bookmarkEnd w:id="6"/>
      <w:r>
        <w:rPr>
          <w:rFonts w:hint="eastAsia" w:ascii="仿宋_GB2312" w:hAnsi="Arial" w:eastAsia="仿宋_GB2312" w:cs="Arial"/>
          <w:color w:val="000000"/>
          <w:kern w:val="0"/>
          <w:sz w:val="32"/>
          <w:szCs w:val="32"/>
        </w:rPr>
        <w:t>　评估省级质检中心的技术能力主要包括关键检验项目的能力和技术水平、仪器设备的配置及水平、实验室环境及硬件设施状况：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(一)关键检验项目的能力和技术水平</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(1)是否在相关专业领域内技术优势项目上具有权威性。</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(2)是否具备承担指导和解决全省相关领域执法把关疑难问题工作的能力。</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(3)授权检验范围和检验能力。</w:t>
      </w:r>
      <w:r>
        <w:rPr>
          <w:rFonts w:hint="eastAsia" w:ascii="仿宋_GB2312" w:hAnsi="Arial" w:eastAsia="仿宋_GB2312" w:cs="Arial"/>
          <w:color w:val="FF0000"/>
          <w:kern w:val="0"/>
          <w:sz w:val="32"/>
          <w:szCs w:val="32"/>
        </w:rPr>
        <w:br w:type="textWrapping"/>
      </w:r>
      <w:r>
        <w:rPr>
          <w:rFonts w:hint="eastAsia" w:ascii="仿宋_GB2312" w:hAnsi="Arial" w:eastAsia="仿宋_GB2312" w:cs="Arial"/>
          <w:color w:val="000000"/>
          <w:kern w:val="0"/>
          <w:sz w:val="32"/>
          <w:szCs w:val="32"/>
        </w:rPr>
        <w:t>　　(二)检验仪器设备的配置及水平</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(1)仪器设备配置的合理性，包括：</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相关专业领域内的大型、先进仪器设备的配置情况。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关键的、先进设备与当地产业特色结合的紧密程度。</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关键的、先进设备的利用率和功能充分利用情况，在科研或工作中所发挥的作用。</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合理配置国产化设备，避免盲目攀比、资源浪费。</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(2)相关配套设备的齐全性。</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(3)确证、验证或满足量值溯源要求的仪器设备的配置情况。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(三)实验室环境及硬件设施状况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(1)关键的环境控制条件是否满足授权检测项目的要求。</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(2)实验室环境是否具有充足的发展空间和条件，具备可持续发展的能力。</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7" w:name="22"/>
      <w:r>
        <w:rPr>
          <w:rFonts w:hint="eastAsia" w:ascii="仿宋_GB2312" w:hAnsi="宋体" w:eastAsia="仿宋_GB2312" w:cs="Arial"/>
          <w:b/>
          <w:bCs/>
          <w:smallCaps/>
          <w:color w:val="000000"/>
          <w:kern w:val="0"/>
          <w:sz w:val="32"/>
          <w:szCs w:val="32"/>
        </w:rPr>
        <w:t>第八条</w:t>
      </w:r>
      <w:bookmarkEnd w:id="7"/>
      <w:r>
        <w:rPr>
          <w:rFonts w:hint="eastAsia" w:ascii="仿宋_GB2312" w:hAnsi="Arial" w:eastAsia="仿宋_GB2312" w:cs="Arial"/>
          <w:color w:val="000000"/>
          <w:kern w:val="0"/>
          <w:sz w:val="32"/>
          <w:szCs w:val="32"/>
        </w:rPr>
        <w:t>　评估省级质检中心的科研水平主要包括科研成果和水平、科技开发、创新能力及科研管理：</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(一)科研成果和水平</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(1)科研成果完成情况，时间、内容、数量、水平等，包括：</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承担和完成的科研课题。</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获奖项目。</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科技论文、专著和译著。</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专利。</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参与标准制(修)订情况。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检验检测技术的开发。</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前瞻性研究。</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(2)科研成果的水平评价。</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(二)科技开发、创新能力及科研管理</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(1)科研管理制度、奖励制度及科技信息收集渠道建立情况。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(2)科研经费投入和使用情况。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(3)科研工作在提升检验能力、解决关键技术问题中发挥的作用。</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8" w:name="23"/>
      <w:r>
        <w:rPr>
          <w:rFonts w:hint="eastAsia" w:ascii="仿宋_GB2312" w:hAnsi="宋体" w:eastAsia="仿宋_GB2312" w:cs="Arial"/>
          <w:b/>
          <w:bCs/>
          <w:smallCaps/>
          <w:color w:val="000000"/>
          <w:kern w:val="0"/>
          <w:sz w:val="32"/>
          <w:szCs w:val="32"/>
        </w:rPr>
        <w:t>第九条</w:t>
      </w:r>
      <w:bookmarkEnd w:id="8"/>
      <w:r>
        <w:rPr>
          <w:rFonts w:hint="eastAsia" w:ascii="仿宋_GB2312" w:hAnsi="Arial" w:eastAsia="仿宋_GB2312" w:cs="Arial"/>
          <w:color w:val="000000"/>
          <w:kern w:val="0"/>
          <w:sz w:val="32"/>
          <w:szCs w:val="32"/>
        </w:rPr>
        <w:t>　评估省级质检中心的人才状况主要包括学术技术带头人水平、人才培养和引进措施、科技人才团队建设的情况：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(一)学术技术带头人水平</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(1)学术技术带头人在相关专业领域内的知名度和权威性。</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(2)相关专业的学术技术带头人的技术水平，包括：</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工作经历和业务水平。</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承担的科研项目和取得的科研成果。</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发表的相关科技论文及专著。</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学术技术兼职和参与行业活动情况。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(二)人才培养和引进措施</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(1)相关专业的高学历(博士或硕士研究生)和中、高级职称人员引进或培养情况。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(2)相关专业技术人员的技术培训、学术技术交流、继续教育情况及取得的成效。</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(三)科技人才团队建设的情况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(1)相关专业技术人员的学历和职称情况，统计数量和比例。包括：</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具有高级技术职称人员数量和比例。</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具有中级及以上技术职称人员数量和比例。</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本科及以上学历人员数量和比例。</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(2)关键岗位人员和专业技术人员的总体技术水平和能力，人才结构、梯队和储备情况。</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9" w:name="24"/>
      <w:r>
        <w:rPr>
          <w:rFonts w:hint="eastAsia" w:ascii="仿宋_GB2312" w:hAnsi="宋体" w:eastAsia="仿宋_GB2312" w:cs="Arial"/>
          <w:b/>
          <w:bCs/>
          <w:smallCaps/>
          <w:color w:val="000000"/>
          <w:kern w:val="0"/>
          <w:sz w:val="32"/>
          <w:szCs w:val="32"/>
        </w:rPr>
        <w:t>第十条</w:t>
      </w:r>
      <w:bookmarkEnd w:id="9"/>
      <w:r>
        <w:rPr>
          <w:rFonts w:hint="eastAsia" w:ascii="仿宋_GB2312" w:hAnsi="Arial" w:eastAsia="仿宋_GB2312" w:cs="Arial"/>
          <w:color w:val="000000"/>
          <w:kern w:val="0"/>
          <w:sz w:val="32"/>
          <w:szCs w:val="32"/>
        </w:rPr>
        <w:t>　评估省级质检中心的运行状况和工作业绩主要包括承担省局任务和业务开展情况、现代化管理制度建设情况：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(一)承担省局任务和业务开展情况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(1)完成省局指令性任务的情况及工作质量，包括：</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监督抽查。</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生产许可证发(换)证检验。</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(2)业务开展及拓展情况，包括：</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近年来的检验收入和批次。</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质量仲裁检验和质量鉴定开展情况。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委托检验开展情况。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(3)为社会和企业提供技术服务及技术支持的情况，对区域经济和产业发展的促进作用。</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(二)现代化管理制度建设情况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(1)调查现行管理体制运行的情况。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(2)在机制和制度方面实行先进、灵活、高效的现代化管理运行模式及所发挥的作用，包括：</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经营管理制度，以市场为主导。</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收入分配制度和绩效考核办法，激励和约束并举，充分调动积极性。</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现代人事管理制度，确保队伍的稳定。</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成本管理制度，科学的成本核算。</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其他具有改革、突破和创新的做法。</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(3)机构整体精神面貌状况。</w:t>
      </w:r>
    </w:p>
    <w:p>
      <w:pPr>
        <w:widowControl/>
        <w:wordWrap w:val="0"/>
        <w:spacing w:line="288" w:lineRule="auto"/>
        <w:ind w:firstLine="630" w:firstLineChars="196"/>
        <w:jc w:val="left"/>
        <w:rPr>
          <w:rFonts w:hint="eastAsia" w:ascii="仿宋_GB2312" w:hAnsi="Arial" w:eastAsia="仿宋_GB2312" w:cs="Arial"/>
          <w:color w:val="000000"/>
          <w:kern w:val="0"/>
          <w:sz w:val="32"/>
          <w:szCs w:val="32"/>
        </w:rPr>
      </w:pPr>
      <w:bookmarkStart w:id="10" w:name="25"/>
      <w:r>
        <w:rPr>
          <w:rFonts w:hint="eastAsia" w:ascii="仿宋_GB2312" w:hAnsi="宋体" w:eastAsia="仿宋_GB2312" w:cs="Arial"/>
          <w:b/>
          <w:bCs/>
          <w:smallCaps/>
          <w:color w:val="000000"/>
          <w:kern w:val="0"/>
          <w:sz w:val="32"/>
          <w:szCs w:val="32"/>
        </w:rPr>
        <w:t>第十一条</w:t>
      </w:r>
      <w:bookmarkEnd w:id="10"/>
      <w:r>
        <w:rPr>
          <w:rFonts w:hint="eastAsia" w:ascii="仿宋_GB2312" w:hAnsi="Arial" w:eastAsia="仿宋_GB2312" w:cs="Arial"/>
          <w:color w:val="000000"/>
          <w:kern w:val="0"/>
          <w:sz w:val="32"/>
          <w:szCs w:val="32"/>
        </w:rPr>
        <w:t>　评估省级质检中心的建设情况和发展能力主要包括实验室建设与发展情况、信息化建设情况、后续建设发展目标、规划及措施：</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(一)实验室建设与发展情况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(1)具有与当地产业特色结合紧密的优势检测项目，形成了“点”的优势，重点发展方向明确，实现了“做专、做精”。</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(2)实验室资金投入、新增仪器装备、环境条件改善、技术能力提升情况。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(3)当地政府给予的关注、支持情况。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(4)资源整合、检测平台建设情况。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(二)信息化建设情况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(1)跟踪、收集、整理和利用国内外相关领域技术信息的情况。</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(2)信息化业务管理系统的建设情况，业务管理系统的完备性、功能性、有效性。</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(3)省级质检中心网站的建设情况，包括：</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界面与内容。</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信息收集与发布。</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客户咨询与反馈。</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更新与维护。</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 访问量。</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(三)后续建设发展目标、规划及措施</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(1)发展目标明确，规划切实可行，与甘肃省省级质检中心的地位相适应。</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(2)对省级质检中心的优势与存在的问题分析到位，建设与发展的总体思路清晰。</w:t>
      </w:r>
      <w:r>
        <w:rPr>
          <w:rFonts w:hint="eastAsia" w:ascii="仿宋_GB2312" w:hAnsi="Arial" w:eastAsia="仿宋_GB2312" w:cs="Arial"/>
          <w:color w:val="000000"/>
          <w:kern w:val="0"/>
          <w:sz w:val="32"/>
          <w:szCs w:val="32"/>
        </w:rPr>
        <w:br w:type="textWrapping"/>
      </w:r>
      <w:r>
        <w:rPr>
          <w:rFonts w:hint="eastAsia" w:ascii="仿宋_GB2312" w:hAnsi="Arial" w:eastAsia="仿宋_GB2312" w:cs="Arial"/>
          <w:color w:val="000000"/>
          <w:kern w:val="0"/>
          <w:sz w:val="32"/>
          <w:szCs w:val="32"/>
        </w:rPr>
        <w:t xml:space="preserve">　　(3)建设发展、保障措施切实可行。 </w:t>
      </w:r>
    </w:p>
    <w:p>
      <w:pPr>
        <w:widowControl/>
        <w:wordWrap w:val="0"/>
        <w:spacing w:line="288" w:lineRule="auto"/>
        <w:jc w:val="center"/>
        <w:rPr>
          <w:rFonts w:hint="eastAsia" w:ascii="仿宋_GB2312" w:hAnsi="宋体" w:eastAsia="仿宋_GB2312" w:cs="Arial"/>
          <w:b/>
          <w:bCs/>
          <w:smallCaps/>
          <w:color w:val="000000"/>
          <w:kern w:val="0"/>
          <w:sz w:val="32"/>
          <w:szCs w:val="32"/>
        </w:rPr>
      </w:pPr>
      <w:r>
        <w:rPr>
          <w:rFonts w:hint="eastAsia" w:ascii="仿宋_GB2312" w:hAnsi="宋体" w:eastAsia="仿宋_GB2312" w:cs="Arial"/>
          <w:b/>
          <w:bCs/>
          <w:smallCaps/>
          <w:color w:val="000000"/>
          <w:kern w:val="0"/>
          <w:sz w:val="32"/>
          <w:szCs w:val="32"/>
        </w:rPr>
        <w:t>第四章　省级质检中心能力建设的评估要求</w:t>
      </w:r>
    </w:p>
    <w:p>
      <w:pPr>
        <w:ind w:firstLine="630" w:firstLineChars="196"/>
        <w:rPr>
          <w:rFonts w:hint="eastAsia" w:ascii="仿宋_GB2312" w:eastAsia="仿宋_GB2312"/>
          <w:sz w:val="32"/>
          <w:szCs w:val="32"/>
        </w:rPr>
      </w:pPr>
      <w:bookmarkStart w:id="11" w:name="26"/>
      <w:r>
        <w:rPr>
          <w:rFonts w:hint="eastAsia" w:ascii="仿宋_GB2312" w:hAnsi="宋体" w:eastAsia="仿宋_GB2312" w:cs="Arial"/>
          <w:b/>
          <w:bCs/>
          <w:smallCaps/>
          <w:color w:val="000000"/>
          <w:kern w:val="0"/>
          <w:sz w:val="32"/>
          <w:szCs w:val="32"/>
        </w:rPr>
        <w:t>第十二条</w:t>
      </w:r>
      <w:bookmarkEnd w:id="11"/>
      <w:r>
        <w:rPr>
          <w:rFonts w:hint="eastAsia" w:ascii="仿宋_GB2312" w:eastAsia="仿宋_GB2312"/>
          <w:sz w:val="32"/>
          <w:szCs w:val="32"/>
        </w:rPr>
        <w:t>　根据省局的统一部署以及省级质检中心能力建设的需要开展评估。</w:t>
      </w:r>
    </w:p>
    <w:p>
      <w:pPr>
        <w:ind w:firstLine="639" w:firstLineChars="199"/>
        <w:rPr>
          <w:rFonts w:hint="eastAsia" w:ascii="仿宋_GB2312" w:eastAsia="仿宋_GB2312"/>
          <w:sz w:val="32"/>
          <w:szCs w:val="32"/>
        </w:rPr>
      </w:pPr>
      <w:bookmarkStart w:id="12" w:name="27"/>
      <w:r>
        <w:rPr>
          <w:rFonts w:hint="eastAsia" w:ascii="仿宋_GB2312" w:hAnsi="宋体" w:eastAsia="仿宋_GB2312" w:cs="Arial"/>
          <w:b/>
          <w:bCs/>
          <w:smallCaps/>
          <w:color w:val="000000"/>
          <w:kern w:val="0"/>
          <w:sz w:val="32"/>
          <w:szCs w:val="32"/>
        </w:rPr>
        <w:t>第十三条</w:t>
      </w:r>
      <w:bookmarkEnd w:id="12"/>
      <w:r>
        <w:rPr>
          <w:rFonts w:hint="eastAsia" w:ascii="仿宋_GB2312" w:eastAsia="仿宋_GB2312"/>
          <w:sz w:val="32"/>
          <w:szCs w:val="32"/>
        </w:rPr>
        <w:t>　评估分为省级质检中心自查并提交报告和相关材料、现场调查评估、结果通报、落实整改。实施评估的动态管理，依据本《指南》对能力建设的基本要求，对表现优异的省级质检中心将予以表彰、对严重不达标者将进行调整。</w:t>
      </w:r>
    </w:p>
    <w:p>
      <w:pPr>
        <w:rPr>
          <w:rFonts w:hint="eastAsia" w:ascii="仿宋_GB2312" w:eastAsia="仿宋_GB2312"/>
          <w:sz w:val="32"/>
          <w:szCs w:val="32"/>
        </w:rPr>
      </w:pPr>
      <w:bookmarkStart w:id="13" w:name="28"/>
      <w:r>
        <w:rPr>
          <w:rFonts w:hint="eastAsia" w:ascii="仿宋_GB2312" w:eastAsia="仿宋_GB2312"/>
          <w:sz w:val="32"/>
          <w:szCs w:val="32"/>
        </w:rPr>
        <w:t>　　</w:t>
      </w:r>
      <w:r>
        <w:rPr>
          <w:rFonts w:hint="eastAsia" w:ascii="仿宋_GB2312" w:hAnsi="宋体" w:eastAsia="仿宋_GB2312" w:cs="Arial"/>
          <w:b/>
          <w:bCs/>
          <w:smallCaps/>
          <w:color w:val="000000"/>
          <w:kern w:val="0"/>
          <w:sz w:val="32"/>
          <w:szCs w:val="32"/>
        </w:rPr>
        <w:t>第十四条</w:t>
      </w:r>
      <w:bookmarkEnd w:id="13"/>
      <w:r>
        <w:rPr>
          <w:rFonts w:hint="eastAsia" w:ascii="仿宋_GB2312" w:hAnsi="宋体" w:eastAsia="仿宋_GB2312" w:cs="Arial"/>
          <w:b/>
          <w:bCs/>
          <w:smallCaps/>
          <w:color w:val="000000"/>
          <w:kern w:val="0"/>
          <w:sz w:val="32"/>
          <w:szCs w:val="32"/>
        </w:rPr>
        <w:t>　</w:t>
      </w:r>
      <w:r>
        <w:rPr>
          <w:rFonts w:hint="eastAsia" w:ascii="仿宋_GB2312" w:eastAsia="仿宋_GB2312"/>
          <w:sz w:val="32"/>
          <w:szCs w:val="32"/>
        </w:rPr>
        <w:t>评估组织工作内容主要包括：制定实施细则及有关工作文件、确定被评估的单位、建立评估专家库并组建评估专家组、评估并形成评估工作报告、通报评估结果等。</w:t>
      </w:r>
    </w:p>
    <w:p>
      <w:pPr>
        <w:widowControl/>
        <w:wordWrap w:val="0"/>
        <w:spacing w:line="288" w:lineRule="auto"/>
        <w:ind w:firstLine="643" w:firstLineChars="200"/>
        <w:jc w:val="left"/>
        <w:rPr>
          <w:rFonts w:hint="eastAsia" w:ascii="仿宋_GB2312" w:hAnsi="Arial" w:eastAsia="仿宋_GB2312" w:cs="Arial"/>
          <w:color w:val="000000"/>
          <w:kern w:val="0"/>
          <w:sz w:val="32"/>
          <w:szCs w:val="32"/>
        </w:rPr>
      </w:pPr>
      <w:bookmarkStart w:id="14" w:name="29"/>
      <w:r>
        <w:rPr>
          <w:rFonts w:hint="eastAsia" w:ascii="仿宋_GB2312" w:hAnsi="宋体" w:eastAsia="仿宋_GB2312" w:cs="Arial"/>
          <w:b/>
          <w:bCs/>
          <w:smallCaps/>
          <w:color w:val="000000"/>
          <w:kern w:val="0"/>
          <w:sz w:val="32"/>
          <w:szCs w:val="32"/>
        </w:rPr>
        <w:t>第十五条</w:t>
      </w:r>
      <w:bookmarkEnd w:id="14"/>
      <w:r>
        <w:rPr>
          <w:rFonts w:hint="eastAsia" w:ascii="仿宋_GB2312" w:hAnsi="Arial" w:eastAsia="仿宋_GB2312" w:cs="Arial"/>
          <w:color w:val="000000"/>
          <w:kern w:val="0"/>
          <w:sz w:val="32"/>
          <w:szCs w:val="32"/>
        </w:rPr>
        <w:t>　市州局</w:t>
      </w:r>
      <w:r>
        <w:rPr>
          <w:rFonts w:hint="eastAsia" w:eastAsia="仿宋_GB2312"/>
          <w:color w:val="000000"/>
          <w:sz w:val="32"/>
          <w:szCs w:val="32"/>
        </w:rPr>
        <w:t>（省局直属技术机构）</w:t>
      </w:r>
      <w:r>
        <w:rPr>
          <w:rFonts w:hint="eastAsia" w:ascii="仿宋_GB2312" w:hAnsi="Arial" w:eastAsia="仿宋_GB2312" w:cs="Arial"/>
          <w:color w:val="000000"/>
          <w:kern w:val="0"/>
          <w:sz w:val="32"/>
          <w:szCs w:val="32"/>
        </w:rPr>
        <w:t>负责对所承建的省级质检中心进行指导和日常管理，督促、协调各中心按省局要求进行建设与发展，受省局委托，受理异议和投诉，并指导整改。</w:t>
      </w:r>
    </w:p>
    <w:p>
      <w:pPr>
        <w:widowControl/>
        <w:wordWrap w:val="0"/>
        <w:spacing w:line="288" w:lineRule="auto"/>
        <w:jc w:val="left"/>
        <w:rPr>
          <w:rFonts w:hint="eastAsia" w:ascii="仿宋_GB2312" w:hAnsi="Arial" w:eastAsia="仿宋_GB2312" w:cs="Arial"/>
          <w:color w:val="000000"/>
          <w:kern w:val="0"/>
          <w:sz w:val="32"/>
          <w:szCs w:val="32"/>
        </w:rPr>
      </w:pPr>
      <w:bookmarkStart w:id="15" w:name="30"/>
      <w:r>
        <w:rPr>
          <w:rFonts w:hint="eastAsia" w:ascii="仿宋_GB2312" w:hAnsi="宋体" w:eastAsia="仿宋_GB2312" w:cs="Arial"/>
          <w:b/>
          <w:bCs/>
          <w:smallCaps/>
          <w:color w:val="000000"/>
          <w:kern w:val="0"/>
          <w:sz w:val="32"/>
          <w:szCs w:val="32"/>
        </w:rPr>
        <w:t>　 　第十六条</w:t>
      </w:r>
      <w:bookmarkEnd w:id="15"/>
      <w:r>
        <w:rPr>
          <w:rFonts w:hint="eastAsia" w:ascii="仿宋_GB2312" w:hAnsi="Arial" w:eastAsia="仿宋_GB2312" w:cs="Arial"/>
          <w:color w:val="000000"/>
          <w:kern w:val="0"/>
          <w:sz w:val="32"/>
          <w:szCs w:val="32"/>
        </w:rPr>
        <w:t xml:space="preserve">　省局科技与信息化处组织专家组负责开展现场调查评估工作。 </w:t>
      </w:r>
    </w:p>
    <w:p>
      <w:pPr>
        <w:widowControl/>
        <w:wordWrap w:val="0"/>
        <w:spacing w:line="288" w:lineRule="auto"/>
        <w:jc w:val="center"/>
        <w:rPr>
          <w:rFonts w:hint="eastAsia" w:ascii="仿宋_GB2312" w:hAnsi="宋体" w:eastAsia="仿宋_GB2312" w:cs="Arial"/>
          <w:b/>
          <w:bCs/>
          <w:smallCaps/>
          <w:color w:val="000000"/>
          <w:kern w:val="0"/>
          <w:sz w:val="32"/>
          <w:szCs w:val="32"/>
        </w:rPr>
      </w:pPr>
      <w:r>
        <w:rPr>
          <w:rFonts w:hint="eastAsia" w:ascii="仿宋_GB2312" w:hAnsi="宋体" w:eastAsia="仿宋_GB2312" w:cs="Arial"/>
          <w:b/>
          <w:bCs/>
          <w:smallCaps/>
          <w:color w:val="000000"/>
          <w:kern w:val="0"/>
          <w:sz w:val="32"/>
          <w:szCs w:val="32"/>
        </w:rPr>
        <w:t>第五章　附则</w:t>
      </w:r>
    </w:p>
    <w:p>
      <w:pPr>
        <w:widowControl/>
        <w:wordWrap w:val="0"/>
        <w:spacing w:line="288" w:lineRule="auto"/>
        <w:jc w:val="left"/>
        <w:rPr>
          <w:rFonts w:hint="eastAsia" w:ascii="仿宋_GB2312" w:hAnsi="Arial" w:eastAsia="仿宋_GB2312" w:cs="Arial"/>
          <w:color w:val="000000"/>
          <w:kern w:val="0"/>
          <w:sz w:val="32"/>
          <w:szCs w:val="32"/>
        </w:rPr>
      </w:pPr>
      <w:bookmarkStart w:id="16" w:name="31"/>
      <w:r>
        <w:rPr>
          <w:rFonts w:hint="eastAsia" w:ascii="仿宋_GB2312" w:hAnsi="宋体" w:eastAsia="仿宋_GB2312" w:cs="Arial"/>
          <w:b/>
          <w:bCs/>
          <w:smallCaps/>
          <w:color w:val="000000"/>
          <w:kern w:val="0"/>
          <w:sz w:val="32"/>
          <w:szCs w:val="32"/>
        </w:rPr>
        <w:t>　 　第十七条</w:t>
      </w:r>
      <w:bookmarkEnd w:id="16"/>
      <w:r>
        <w:rPr>
          <w:rFonts w:hint="eastAsia" w:ascii="仿宋_GB2312" w:hAnsi="Arial" w:eastAsia="仿宋_GB2312" w:cs="Arial"/>
          <w:color w:val="000000"/>
          <w:kern w:val="0"/>
          <w:sz w:val="32"/>
          <w:szCs w:val="32"/>
        </w:rPr>
        <w:t>　本《指南》自2020年</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17</w:t>
      </w:r>
      <w:r>
        <w:rPr>
          <w:rFonts w:hint="eastAsia" w:ascii="仿宋_GB2312" w:hAnsi="Arial" w:eastAsia="仿宋_GB2312" w:cs="Arial"/>
          <w:color w:val="000000"/>
          <w:kern w:val="0"/>
          <w:sz w:val="32"/>
          <w:szCs w:val="32"/>
        </w:rPr>
        <w:t>日施行，有效期五年。</w:t>
      </w:r>
    </w:p>
    <w:p>
      <w:pPr>
        <w:spacing w:line="360" w:lineRule="auto"/>
        <w:ind w:left="321" w:leftChars="153" w:firstLine="321" w:firstLineChars="100"/>
        <w:rPr>
          <w:rFonts w:hint="eastAsia" w:ascii="仿宋_GB2312" w:hAnsi="Arial" w:eastAsia="仿宋_GB2312" w:cs="Arial"/>
          <w:color w:val="000000"/>
          <w:kern w:val="0"/>
          <w:sz w:val="32"/>
          <w:szCs w:val="32"/>
        </w:rPr>
      </w:pPr>
      <w:bookmarkStart w:id="17" w:name="32"/>
      <w:r>
        <w:rPr>
          <w:rFonts w:hint="eastAsia" w:ascii="仿宋_GB2312" w:hAnsi="宋体" w:eastAsia="仿宋_GB2312" w:cs="Arial"/>
          <w:b/>
          <w:bCs/>
          <w:smallCaps/>
          <w:color w:val="000000"/>
          <w:kern w:val="0"/>
          <w:sz w:val="32"/>
          <w:szCs w:val="32"/>
        </w:rPr>
        <w:t>第十八条</w:t>
      </w:r>
      <w:bookmarkEnd w:id="17"/>
      <w:r>
        <w:rPr>
          <w:rFonts w:hint="eastAsia" w:ascii="仿宋_GB2312" w:hAnsi="Arial" w:eastAsia="仿宋_GB2312" w:cs="Arial"/>
          <w:color w:val="000000"/>
          <w:kern w:val="0"/>
          <w:sz w:val="32"/>
          <w:szCs w:val="32"/>
        </w:rPr>
        <w:t>　原省质量技术监督局制定的《关于全省质检</w:t>
      </w:r>
    </w:p>
    <w:p>
      <w:pPr>
        <w:spacing w:line="360" w:lineRule="auto"/>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系统省级质检中心建设管理的意见》（甘质检科</w:t>
      </w:r>
      <w:r>
        <w:rPr>
          <w:rFonts w:hint="eastAsia" w:ascii="仿宋" w:hAnsi="仿宋" w:eastAsia="仿宋" w:cs="Arial"/>
          <w:color w:val="000000"/>
          <w:kern w:val="0"/>
          <w:sz w:val="32"/>
          <w:szCs w:val="32"/>
        </w:rPr>
        <w:t>﹝2010﹞101号</w:t>
      </w:r>
      <w:r>
        <w:rPr>
          <w:rFonts w:hint="eastAsia" w:ascii="仿宋_GB2312" w:hAnsi="Arial" w:eastAsia="仿宋_GB2312" w:cs="Arial"/>
          <w:color w:val="000000"/>
          <w:kern w:val="0"/>
          <w:sz w:val="32"/>
          <w:szCs w:val="32"/>
        </w:rPr>
        <w:t>）同时废止。</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附件：</w:t>
      </w:r>
      <w:r>
        <w:rPr>
          <w:rFonts w:hint="eastAsia" w:ascii="仿宋_GB2312" w:hAnsi="宋体" w:eastAsia="仿宋_GB2312" w:cs="宋体"/>
          <w:sz w:val="32"/>
          <w:szCs w:val="32"/>
        </w:rPr>
        <w:t>甘肃省省级质检中心年度考核表</w:t>
      </w:r>
    </w:p>
    <w:p>
      <w:pPr>
        <w:pStyle w:val="2"/>
        <w:spacing w:line="560" w:lineRule="exact"/>
        <w:ind w:firstLine="1600" w:firstLineChars="500"/>
        <w:rPr>
          <w:rFonts w:hint="eastAsia" w:ascii="仿宋_GB2312" w:eastAsia="仿宋_GB2312"/>
          <w:sz w:val="32"/>
          <w:szCs w:val="32"/>
        </w:rPr>
      </w:pPr>
    </w:p>
    <w:p>
      <w:pPr>
        <w:spacing w:line="360" w:lineRule="auto"/>
        <w:ind w:left="321" w:leftChars="153" w:firstLine="361" w:firstLineChars="100"/>
        <w:rPr>
          <w:rFonts w:hint="eastAsia" w:ascii="宋体" w:hAnsi="宋体"/>
          <w:b/>
          <w:sz w:val="36"/>
          <w:szCs w:val="36"/>
        </w:rPr>
      </w:pPr>
    </w:p>
    <w:p>
      <w:pPr>
        <w:spacing w:line="360" w:lineRule="auto"/>
        <w:ind w:left="321" w:leftChars="153" w:firstLine="361" w:firstLineChars="100"/>
        <w:rPr>
          <w:rFonts w:hint="eastAsia" w:ascii="宋体" w:hAnsi="宋体"/>
          <w:b/>
          <w:sz w:val="36"/>
          <w:szCs w:val="36"/>
        </w:rPr>
      </w:pPr>
    </w:p>
    <w:p>
      <w:pPr>
        <w:spacing w:line="360" w:lineRule="auto"/>
        <w:ind w:left="321" w:leftChars="153" w:firstLine="361" w:firstLineChars="100"/>
        <w:rPr>
          <w:rFonts w:hint="eastAsia" w:ascii="宋体" w:hAnsi="宋体"/>
          <w:b/>
          <w:sz w:val="36"/>
          <w:szCs w:val="36"/>
        </w:rPr>
      </w:pPr>
    </w:p>
    <w:p>
      <w:pPr>
        <w:spacing w:line="360" w:lineRule="auto"/>
        <w:ind w:left="321" w:leftChars="153" w:firstLine="361" w:firstLineChars="100"/>
        <w:rPr>
          <w:rFonts w:hint="eastAsia" w:ascii="宋体" w:hAnsi="宋体"/>
          <w:b/>
          <w:sz w:val="36"/>
          <w:szCs w:val="36"/>
        </w:rPr>
      </w:pPr>
    </w:p>
    <w:p>
      <w:pPr>
        <w:spacing w:line="360" w:lineRule="auto"/>
        <w:ind w:left="321" w:leftChars="153" w:firstLine="361" w:firstLineChars="100"/>
        <w:rPr>
          <w:rFonts w:hint="eastAsia" w:ascii="宋体" w:hAnsi="宋体"/>
          <w:b/>
          <w:sz w:val="36"/>
          <w:szCs w:val="36"/>
        </w:rPr>
      </w:pPr>
    </w:p>
    <w:p>
      <w:pPr>
        <w:spacing w:line="360" w:lineRule="auto"/>
        <w:rPr>
          <w:rFonts w:hint="eastAsia" w:ascii="宋体" w:hAnsi="宋体"/>
          <w:b/>
          <w:sz w:val="36"/>
          <w:szCs w:val="36"/>
        </w:rPr>
      </w:pPr>
      <w:bookmarkStart w:id="18" w:name="_GoBack"/>
      <w:bookmarkEnd w:id="18"/>
    </w:p>
    <w:p>
      <w:pPr>
        <w:rPr>
          <w:rFonts w:ascii="仿宋_GB2312" w:eastAsia="仿宋_GB2312"/>
          <w:sz w:val="32"/>
          <w:szCs w:val="32"/>
        </w:rPr>
      </w:pPr>
      <w:r>
        <w:rPr>
          <w:rFonts w:hint="eastAsia" w:ascii="仿宋_GB2312" w:eastAsia="仿宋_GB2312"/>
          <w:sz w:val="32"/>
          <w:szCs w:val="32"/>
        </w:rPr>
        <w:t>附件：</w:t>
      </w:r>
    </w:p>
    <w:p>
      <w:pPr>
        <w:spacing w:beforeLines="50"/>
        <w:jc w:val="center"/>
        <w:rPr>
          <w:rFonts w:ascii="仿宋" w:hAnsi="仿宋" w:eastAsia="仿宋"/>
          <w:b/>
          <w:sz w:val="32"/>
          <w:szCs w:val="32"/>
        </w:rPr>
      </w:pPr>
      <w:r>
        <w:rPr>
          <w:rFonts w:hint="eastAsia" w:ascii="仿宋" w:hAnsi="仿宋" w:eastAsia="仿宋"/>
          <w:b/>
          <w:sz w:val="32"/>
          <w:szCs w:val="32"/>
        </w:rPr>
        <w:t>甘肃省省级质检中心年度考核表</w:t>
      </w:r>
    </w:p>
    <w:tbl>
      <w:tblPr>
        <w:tblStyle w:val="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34"/>
        <w:gridCol w:w="31"/>
        <w:gridCol w:w="1528"/>
        <w:gridCol w:w="2066"/>
        <w:gridCol w:w="2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336"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1675" w:type="dxa"/>
            <w:vAlign w:val="center"/>
          </w:tcPr>
          <w:p>
            <w:pPr>
              <w:spacing w:line="400" w:lineRule="exact"/>
              <w:jc w:val="center"/>
              <w:rPr>
                <w:rFonts w:ascii="仿宋_GB2312" w:hAnsi="宋体" w:eastAsia="仿宋_GB2312"/>
                <w:sz w:val="28"/>
                <w:szCs w:val="28"/>
              </w:rPr>
            </w:pPr>
          </w:p>
        </w:tc>
        <w:tc>
          <w:tcPr>
            <w:tcW w:w="222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3048" w:type="dxa"/>
          </w:tcPr>
          <w:p>
            <w:pPr>
              <w:spacing w:line="400" w:lineRule="exact"/>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336"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负责人姓名</w:t>
            </w:r>
          </w:p>
        </w:tc>
        <w:tc>
          <w:tcPr>
            <w:tcW w:w="1675" w:type="dxa"/>
            <w:vAlign w:val="center"/>
          </w:tcPr>
          <w:p>
            <w:pPr>
              <w:spacing w:line="400" w:lineRule="exact"/>
              <w:jc w:val="center"/>
              <w:rPr>
                <w:rFonts w:ascii="仿宋_GB2312" w:hAnsi="宋体" w:eastAsia="仿宋_GB2312"/>
                <w:sz w:val="28"/>
                <w:szCs w:val="28"/>
              </w:rPr>
            </w:pPr>
          </w:p>
        </w:tc>
        <w:tc>
          <w:tcPr>
            <w:tcW w:w="222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联系电话及传真</w:t>
            </w:r>
          </w:p>
        </w:tc>
        <w:tc>
          <w:tcPr>
            <w:tcW w:w="3048" w:type="dxa"/>
            <w:vAlign w:val="center"/>
          </w:tcPr>
          <w:p>
            <w:pPr>
              <w:spacing w:line="400" w:lineRule="exact"/>
              <w:jc w:val="right"/>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2336" w:type="dxa"/>
            <w:gridSpan w:val="2"/>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1675" w:type="dxa"/>
          </w:tcPr>
          <w:p>
            <w:pPr>
              <w:spacing w:line="400" w:lineRule="exact"/>
              <w:jc w:val="center"/>
              <w:rPr>
                <w:rFonts w:ascii="仿宋_GB2312" w:hAnsi="宋体" w:eastAsia="仿宋_GB2312"/>
                <w:sz w:val="28"/>
                <w:szCs w:val="28"/>
              </w:rPr>
            </w:pPr>
          </w:p>
        </w:tc>
        <w:tc>
          <w:tcPr>
            <w:tcW w:w="2227" w:type="dxa"/>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移动电话</w:t>
            </w:r>
          </w:p>
        </w:tc>
        <w:tc>
          <w:tcPr>
            <w:tcW w:w="3048" w:type="dxa"/>
          </w:tcPr>
          <w:p>
            <w:pPr>
              <w:spacing w:line="400" w:lineRule="exact"/>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2336"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中心人员总数</w:t>
            </w:r>
          </w:p>
        </w:tc>
        <w:tc>
          <w:tcPr>
            <w:tcW w:w="1675" w:type="dxa"/>
            <w:vAlign w:val="center"/>
          </w:tcPr>
          <w:p>
            <w:pPr>
              <w:spacing w:line="400" w:lineRule="exact"/>
              <w:jc w:val="center"/>
              <w:rPr>
                <w:rFonts w:ascii="仿宋_GB2312" w:hAnsi="宋体" w:eastAsia="仿宋_GB2312"/>
                <w:sz w:val="28"/>
                <w:szCs w:val="28"/>
              </w:rPr>
            </w:pPr>
          </w:p>
        </w:tc>
        <w:tc>
          <w:tcPr>
            <w:tcW w:w="222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技术人员总数</w:t>
            </w:r>
          </w:p>
        </w:tc>
        <w:tc>
          <w:tcPr>
            <w:tcW w:w="3048" w:type="dxa"/>
          </w:tcPr>
          <w:p>
            <w:pPr>
              <w:spacing w:line="400" w:lineRule="exact"/>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2" w:hRule="atLeast"/>
        </w:trPr>
        <w:tc>
          <w:tcPr>
            <w:tcW w:w="2336" w:type="dxa"/>
            <w:gridSpan w:val="2"/>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中心固定资产总值</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(万元)</w:t>
            </w:r>
          </w:p>
        </w:tc>
        <w:tc>
          <w:tcPr>
            <w:tcW w:w="1675" w:type="dxa"/>
          </w:tcPr>
          <w:p>
            <w:pPr>
              <w:spacing w:line="400" w:lineRule="exact"/>
              <w:jc w:val="center"/>
              <w:rPr>
                <w:rFonts w:ascii="仿宋_GB2312" w:hAnsi="宋体" w:eastAsia="仿宋_GB2312"/>
                <w:sz w:val="28"/>
                <w:szCs w:val="28"/>
              </w:rPr>
            </w:pPr>
          </w:p>
        </w:tc>
        <w:tc>
          <w:tcPr>
            <w:tcW w:w="2227" w:type="dxa"/>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中心设备总值</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(万元)</w:t>
            </w:r>
          </w:p>
        </w:tc>
        <w:tc>
          <w:tcPr>
            <w:tcW w:w="3048" w:type="dxa"/>
          </w:tcPr>
          <w:p>
            <w:pPr>
              <w:spacing w:line="400" w:lineRule="exact"/>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trPr>
        <w:tc>
          <w:tcPr>
            <w:tcW w:w="2336" w:type="dxa"/>
            <w:gridSpan w:val="2"/>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中心房屋总面积(平方米)</w:t>
            </w:r>
          </w:p>
        </w:tc>
        <w:tc>
          <w:tcPr>
            <w:tcW w:w="1675" w:type="dxa"/>
          </w:tcPr>
          <w:p>
            <w:pPr>
              <w:spacing w:line="400" w:lineRule="exact"/>
              <w:jc w:val="center"/>
              <w:rPr>
                <w:rFonts w:ascii="仿宋_GB2312" w:hAnsi="宋体" w:eastAsia="仿宋_GB2312"/>
                <w:sz w:val="28"/>
                <w:szCs w:val="28"/>
              </w:rPr>
            </w:pPr>
          </w:p>
        </w:tc>
        <w:tc>
          <w:tcPr>
            <w:tcW w:w="2227" w:type="dxa"/>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中心实验室总面积(平方米)</w:t>
            </w:r>
          </w:p>
        </w:tc>
        <w:tc>
          <w:tcPr>
            <w:tcW w:w="3048" w:type="dxa"/>
          </w:tcPr>
          <w:p>
            <w:pPr>
              <w:spacing w:line="400" w:lineRule="exact"/>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02"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较上一年度能力建设发展的重大变化情况综述</w:t>
            </w:r>
          </w:p>
        </w:tc>
        <w:tc>
          <w:tcPr>
            <w:tcW w:w="6984" w:type="dxa"/>
            <w:gridSpan w:val="4"/>
            <w:vAlign w:val="center"/>
          </w:tcPr>
          <w:p>
            <w:pPr>
              <w:spacing w:line="400" w:lineRule="exact"/>
              <w:rPr>
                <w:rFonts w:ascii="仿宋_GB2312" w:hAnsi="宋体" w:eastAsia="仿宋_GB2312"/>
                <w:sz w:val="28"/>
                <w:szCs w:val="28"/>
              </w:rPr>
            </w:pPr>
            <w:r>
              <w:rPr>
                <w:rFonts w:hint="eastAsia" w:ascii="仿宋_GB2312" w:hAnsi="宋体" w:eastAsia="仿宋_GB2312"/>
                <w:sz w:val="28"/>
                <w:szCs w:val="28"/>
              </w:rPr>
              <w:t>围绕技术能力、科研水平、人才状况、运行业绩以及建设发展情况五大方面展开，但应仅涉及比较上一年度发生重大变化的情况。</w:t>
            </w: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rPr>
                <w:rFonts w:ascii="仿宋_GB2312" w:hAnsi="宋体" w:eastAsia="仿宋_GB2312"/>
                <w:sz w:val="28"/>
                <w:szCs w:val="28"/>
              </w:rPr>
            </w:pPr>
          </w:p>
        </w:tc>
      </w:tr>
    </w:tbl>
    <w:p>
      <w:pPr>
        <w:rPr>
          <w:vanish/>
        </w:rPr>
      </w:pPr>
    </w:p>
    <w:tbl>
      <w:tblPr>
        <w:tblStyle w:val="4"/>
        <w:tblpPr w:leftFromText="180" w:rightFromText="180" w:vertAnchor="text" w:horzAnchor="margin" w:tblpY="159"/>
        <w:tblW w:w="96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268"/>
        <w:gridCol w:w="74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8" w:hRule="atLeast"/>
        </w:trPr>
        <w:tc>
          <w:tcPr>
            <w:tcW w:w="2268" w:type="dxa"/>
            <w:vAlign w:val="center"/>
          </w:tcPr>
          <w:p>
            <w:pPr>
              <w:spacing w:line="400" w:lineRule="exact"/>
              <w:jc w:val="center"/>
              <w:rPr>
                <w:rFonts w:ascii="仿宋_GB2312" w:hAnsi="宋体" w:eastAsia="仿宋_GB2312"/>
                <w:bCs/>
                <w:sz w:val="28"/>
                <w:szCs w:val="28"/>
              </w:rPr>
            </w:pPr>
            <w:r>
              <w:rPr>
                <w:rFonts w:hint="eastAsia" w:ascii="仿宋_GB2312" w:hAnsi="宋体" w:eastAsia="仿宋_GB2312"/>
                <w:b/>
                <w:sz w:val="28"/>
                <w:szCs w:val="28"/>
              </w:rPr>
              <w:t>存在的问题</w:t>
            </w:r>
          </w:p>
        </w:tc>
        <w:tc>
          <w:tcPr>
            <w:tcW w:w="7425" w:type="dxa"/>
            <w:vAlign w:val="center"/>
          </w:tcPr>
          <w:p>
            <w:pPr>
              <w:spacing w:beforeLines="50" w:line="320" w:lineRule="exact"/>
              <w:rPr>
                <w:rFonts w:ascii="仿宋_GB2312" w:hAnsi="宋体" w:eastAsia="仿宋_GB2312"/>
                <w:bCs/>
                <w:sz w:val="28"/>
                <w:szCs w:val="28"/>
              </w:rPr>
            </w:pPr>
            <w:r>
              <w:rPr>
                <w:rFonts w:hint="eastAsia" w:ascii="仿宋_GB2312" w:hAnsi="宋体" w:eastAsia="仿宋_GB2312"/>
                <w:bCs/>
                <w:sz w:val="28"/>
                <w:szCs w:val="28"/>
              </w:rPr>
              <w:t>紧密联系省级质检中心能力建设实际，详细说明省级质检中心在能力建设和业务开展中存在的主要问题。</w:t>
            </w: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4" w:hRule="atLeast"/>
        </w:trPr>
        <w:tc>
          <w:tcPr>
            <w:tcW w:w="2268" w:type="dxa"/>
            <w:vAlign w:val="center"/>
          </w:tcPr>
          <w:p>
            <w:pPr>
              <w:spacing w:line="400" w:lineRule="exact"/>
              <w:jc w:val="center"/>
              <w:rPr>
                <w:rFonts w:ascii="仿宋_GB2312" w:hAnsi="宋体" w:eastAsia="仿宋_GB2312"/>
                <w:b/>
                <w:sz w:val="28"/>
                <w:szCs w:val="28"/>
              </w:rPr>
            </w:pPr>
            <w:r>
              <w:rPr>
                <w:rFonts w:hint="eastAsia" w:ascii="仿宋_GB2312" w:hAnsi="宋体" w:eastAsia="仿宋_GB2312"/>
                <w:b/>
                <w:sz w:val="28"/>
                <w:szCs w:val="28"/>
              </w:rPr>
              <w:t>纠正措施</w:t>
            </w:r>
          </w:p>
        </w:tc>
        <w:tc>
          <w:tcPr>
            <w:tcW w:w="7425" w:type="dxa"/>
            <w:vAlign w:val="center"/>
          </w:tcPr>
          <w:p>
            <w:pPr>
              <w:spacing w:beforeLines="50" w:line="320" w:lineRule="exact"/>
              <w:rPr>
                <w:rFonts w:ascii="仿宋_GB2312" w:hAnsi="宋体" w:eastAsia="仿宋_GB2312"/>
                <w:bCs/>
                <w:sz w:val="28"/>
                <w:szCs w:val="28"/>
              </w:rPr>
            </w:pPr>
            <w:r>
              <w:rPr>
                <w:rFonts w:hint="eastAsia" w:ascii="仿宋_GB2312" w:hAnsi="宋体" w:eastAsia="仿宋_GB2312"/>
                <w:bCs/>
                <w:sz w:val="28"/>
                <w:szCs w:val="28"/>
              </w:rPr>
              <w:t>针对存在的问题，提出切实可行的纠正措施。</w:t>
            </w: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bCs/>
                <w:sz w:val="28"/>
                <w:szCs w:val="28"/>
              </w:rPr>
            </w:pPr>
          </w:p>
          <w:p>
            <w:pPr>
              <w:spacing w:line="320" w:lineRule="exact"/>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2" w:hRule="atLeast"/>
        </w:trPr>
        <w:tc>
          <w:tcPr>
            <w:tcW w:w="2268" w:type="dxa"/>
            <w:vAlign w:val="center"/>
          </w:tcPr>
          <w:p>
            <w:pPr>
              <w:spacing w:line="400" w:lineRule="exact"/>
              <w:jc w:val="center"/>
              <w:rPr>
                <w:rFonts w:ascii="仿宋_GB2312" w:hAnsi="宋体" w:eastAsia="仿宋_GB2312"/>
                <w:bCs/>
                <w:sz w:val="28"/>
                <w:szCs w:val="28"/>
              </w:rPr>
            </w:pPr>
            <w:r>
              <w:rPr>
                <w:rFonts w:hint="eastAsia" w:ascii="仿宋_GB2312" w:eastAsia="仿宋_GB2312"/>
                <w:sz w:val="28"/>
                <w:szCs w:val="28"/>
              </w:rPr>
              <w:t>市州市场监督管理局（省局直属技术机构）</w:t>
            </w:r>
            <w:r>
              <w:rPr>
                <w:rFonts w:hint="eastAsia" w:ascii="仿宋_GB2312" w:hAnsi="宋体" w:eastAsia="仿宋_GB2312"/>
                <w:b/>
                <w:sz w:val="28"/>
                <w:szCs w:val="28"/>
              </w:rPr>
              <w:t>考核意见综述</w:t>
            </w:r>
          </w:p>
        </w:tc>
        <w:tc>
          <w:tcPr>
            <w:tcW w:w="7425" w:type="dxa"/>
            <w:vAlign w:val="center"/>
          </w:tcPr>
          <w:p>
            <w:pPr>
              <w:spacing w:line="320" w:lineRule="exact"/>
              <w:rPr>
                <w:rFonts w:ascii="仿宋_GB2312" w:hAnsi="宋体" w:eastAsia="仿宋_GB2312"/>
                <w:sz w:val="28"/>
                <w:szCs w:val="28"/>
                <w:u w:val="single"/>
              </w:rPr>
            </w:pPr>
          </w:p>
          <w:p>
            <w:pPr>
              <w:spacing w:line="320" w:lineRule="exact"/>
              <w:rPr>
                <w:rFonts w:ascii="仿宋_GB2312" w:hAnsi="宋体" w:eastAsia="仿宋_GB2312"/>
                <w:sz w:val="28"/>
                <w:szCs w:val="28"/>
              </w:rPr>
            </w:pPr>
            <w:r>
              <w:rPr>
                <w:rFonts w:hint="eastAsia" w:ascii="仿宋_GB2312" w:hAnsi="宋体" w:eastAsia="仿宋_GB2312"/>
                <w:sz w:val="28"/>
                <w:szCs w:val="28"/>
              </w:rPr>
              <w:t>其目前整体的能力建设发展情况达到水平</w:t>
            </w:r>
            <w:r>
              <w:rPr>
                <w:rFonts w:hint="eastAsia" w:ascii="仿宋_GB2312" w:hAnsi="宋体" w:eastAsia="仿宋_GB2312"/>
                <w:b/>
                <w:sz w:val="28"/>
                <w:szCs w:val="28"/>
              </w:rPr>
              <w:t>（正式成立的</w:t>
            </w:r>
            <w:r>
              <w:rPr>
                <w:rFonts w:hint="eastAsia" w:ascii="仿宋_GB2312" w:hAnsi="宋体" w:eastAsia="仿宋_GB2312"/>
                <w:b/>
                <w:bCs/>
                <w:sz w:val="28"/>
                <w:szCs w:val="28"/>
              </w:rPr>
              <w:t>省质检中心适用</w:t>
            </w:r>
            <w:r>
              <w:rPr>
                <w:rFonts w:hint="eastAsia" w:ascii="仿宋_GB2312" w:hAnsi="宋体" w:eastAsia="仿宋_GB2312"/>
                <w:b/>
                <w:sz w:val="28"/>
                <w:szCs w:val="28"/>
              </w:rPr>
              <w:t>）</w:t>
            </w:r>
            <w:r>
              <w:rPr>
                <w:rFonts w:hint="eastAsia" w:ascii="仿宋_GB2312" w:hAnsi="宋体" w:eastAsia="仿宋_GB2312"/>
                <w:sz w:val="28"/>
                <w:szCs w:val="28"/>
              </w:rPr>
              <w:t>/其目前筹建进展处于状态，整体的能力建设情况有望达到水平</w:t>
            </w:r>
            <w:r>
              <w:rPr>
                <w:rFonts w:hint="eastAsia" w:ascii="仿宋_GB2312" w:hAnsi="宋体" w:eastAsia="仿宋_GB2312"/>
                <w:b/>
                <w:sz w:val="28"/>
                <w:szCs w:val="28"/>
              </w:rPr>
              <w:t>（筹建中的</w:t>
            </w:r>
            <w:r>
              <w:rPr>
                <w:rFonts w:hint="eastAsia" w:ascii="仿宋_GB2312" w:hAnsi="宋体" w:eastAsia="仿宋_GB2312"/>
                <w:b/>
                <w:bCs/>
                <w:sz w:val="28"/>
                <w:szCs w:val="28"/>
              </w:rPr>
              <w:t>省质检中心适用</w:t>
            </w:r>
            <w:r>
              <w:rPr>
                <w:rFonts w:hint="eastAsia" w:ascii="仿宋_GB2312" w:hAnsi="宋体" w:eastAsia="仿宋_GB2312"/>
                <w:b/>
                <w:sz w:val="28"/>
                <w:szCs w:val="28"/>
              </w:rPr>
              <w:t>）</w:t>
            </w:r>
            <w:r>
              <w:rPr>
                <w:rFonts w:hint="eastAsia" w:ascii="仿宋_GB2312" w:hAnsi="宋体" w:eastAsia="仿宋_GB2312"/>
                <w:sz w:val="28"/>
                <w:szCs w:val="28"/>
              </w:rPr>
              <w:t>。</w:t>
            </w:r>
          </w:p>
          <w:p>
            <w:pPr>
              <w:spacing w:line="320" w:lineRule="exact"/>
              <w:jc w:val="left"/>
              <w:rPr>
                <w:rFonts w:ascii="仿宋_GB2312" w:hAnsi="宋体" w:eastAsia="仿宋_GB2312"/>
                <w:sz w:val="28"/>
                <w:szCs w:val="28"/>
              </w:rPr>
            </w:pPr>
          </w:p>
          <w:p>
            <w:pPr>
              <w:spacing w:line="320" w:lineRule="exact"/>
              <w:jc w:val="left"/>
              <w:rPr>
                <w:rFonts w:ascii="仿宋_GB2312" w:hAnsi="宋体" w:eastAsia="仿宋_GB2312"/>
                <w:sz w:val="28"/>
                <w:szCs w:val="28"/>
              </w:rPr>
            </w:pPr>
          </w:p>
          <w:p>
            <w:pPr>
              <w:spacing w:line="320" w:lineRule="exact"/>
              <w:jc w:val="left"/>
              <w:rPr>
                <w:rFonts w:ascii="仿宋_GB2312" w:hAnsi="宋体" w:eastAsia="仿宋_GB2312"/>
                <w:sz w:val="28"/>
                <w:szCs w:val="28"/>
              </w:rPr>
            </w:pPr>
          </w:p>
          <w:p>
            <w:pPr>
              <w:spacing w:line="320" w:lineRule="exact"/>
              <w:jc w:val="left"/>
              <w:rPr>
                <w:rFonts w:ascii="仿宋_GB2312" w:hAnsi="宋体" w:eastAsia="仿宋_GB2312"/>
                <w:sz w:val="28"/>
                <w:szCs w:val="28"/>
              </w:rPr>
            </w:pP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（盖章）</w:t>
            </w:r>
          </w:p>
        </w:tc>
      </w:tr>
    </w:tbl>
    <w:p>
      <w:pPr>
        <w:rPr>
          <w:rFonts w:hint="eastAsia"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74602"/>
    <w:rsid w:val="093679AC"/>
    <w:rsid w:val="42574602"/>
    <w:rsid w:val="484D395C"/>
    <w:rsid w:val="5D2458EC"/>
    <w:rsid w:val="663C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2020-12-09T08:17:00Z</dcterms:created>
  <dc:creator>牛振荣</dc:creator>
  <cp:lastModifiedBy>牛振荣</cp:lastModifiedBy>
  <dcterms:modified xsi:type="dcterms:W3CDTF">2020-12-09T08:20:06Z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