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both"/>
        <w:outlineLvl w:val="0"/>
        <w:rPr>
          <w:ins w:id="1" w:author="局文秘(发文、纪要)" w:date="2024-12-12T09:33:00Z"/>
          <w:rFonts w:hint="default" w:eastAsia="黑体" w:cs="黑体"/>
          <w:sz w:val="32"/>
          <w:szCs w:val="32"/>
          <w:lang w:val="en-US" w:eastAsia="zh-CN"/>
          <w:rPrChange w:id="2" w:author="局文秘(发文、纪要)" w:date="2024-12-12T09:33:00Z">
            <w:rPr>
              <w:ins w:id="3" w:author="局文秘(发文、纪要)" w:date="2024-12-12T09:33:00Z"/>
              <w:rFonts w:hint="default" w:eastAsia="黑体" w:cs="黑体"/>
              <w:sz w:val="44"/>
              <w:szCs w:val="44"/>
              <w:lang w:val="en-US" w:eastAsia="zh-CN"/>
            </w:rPr>
          </w:rPrChange>
        </w:rPr>
        <w:pPrChange w:id="0" w:author="局文秘(发文、纪要)" w:date="2024-12-12T09:33:00Z">
          <w:pPr>
            <w:spacing w:line="540" w:lineRule="exact"/>
            <w:jc w:val="center"/>
            <w:outlineLvl w:val="0"/>
          </w:pPr>
        </w:pPrChange>
      </w:pPr>
      <w:ins w:id="4" w:author="局文秘(发文、纪要)" w:date="2024-12-12T09:33:00Z">
        <w:bookmarkStart w:id="5" w:name="_GoBack"/>
        <w:bookmarkEnd w:id="5"/>
        <w:r>
          <w:rPr>
            <w:rFonts w:hint="eastAsia" w:eastAsia="黑体" w:cs="黑体"/>
            <w:sz w:val="32"/>
            <w:szCs w:val="32"/>
            <w:lang w:eastAsia="zh-CN"/>
            <w:rPrChange w:id="5" w:author="局文秘(发文、纪要)" w:date="2024-12-12T09:33:00Z">
              <w:rPr>
                <w:rFonts w:hint="eastAsia" w:eastAsia="黑体" w:cs="黑体"/>
                <w:sz w:val="44"/>
                <w:szCs w:val="44"/>
                <w:lang w:eastAsia="zh-CN"/>
              </w:rPr>
            </w:rPrChange>
          </w:rPr>
          <w:t>附件</w:t>
        </w:r>
      </w:ins>
      <w:ins w:id="7" w:author="局文秘(发文、纪要)" w:date="2024-12-12T09:33:00Z">
        <w:r>
          <w:rPr>
            <w:rFonts w:hint="eastAsia" w:eastAsia="黑体" w:cs="黑体"/>
            <w:sz w:val="32"/>
            <w:szCs w:val="32"/>
            <w:lang w:val="en-US" w:eastAsia="zh-CN"/>
            <w:rPrChange w:id="8" w:author="局文秘(发文、纪要)" w:date="2024-12-12T09:33:00Z">
              <w:rPr>
                <w:rFonts w:hint="eastAsia" w:eastAsia="黑体" w:cs="黑体"/>
                <w:sz w:val="44"/>
                <w:szCs w:val="44"/>
                <w:lang w:val="en-US" w:eastAsia="zh-CN"/>
              </w:rPr>
            </w:rPrChange>
          </w:rPr>
          <w:t>2</w:t>
        </w:r>
      </w:ins>
    </w:p>
    <w:p>
      <w:pPr>
        <w:spacing w:line="540" w:lineRule="exact"/>
        <w:jc w:val="center"/>
        <w:outlineLvl w:val="0"/>
        <w:rPr>
          <w:rFonts w:hint="eastAsia" w:eastAsia="黑体" w:cs="黑体"/>
          <w:sz w:val="44"/>
          <w:szCs w:val="44"/>
        </w:rPr>
      </w:pPr>
    </w:p>
    <w:p>
      <w:pPr>
        <w:spacing w:line="660" w:lineRule="exact"/>
        <w:jc w:val="center"/>
        <w:outlineLvl w:val="0"/>
        <w:rPr>
          <w:rFonts w:hint="eastAsia" w:ascii="黑体" w:hAnsi="黑体" w:eastAsia="黑体"/>
          <w:sz w:val="36"/>
          <w:szCs w:val="36"/>
        </w:rPr>
      </w:pPr>
      <w:r>
        <w:rPr>
          <w:rFonts w:hint="eastAsia" w:ascii="黑体" w:hAnsi="黑体" w:eastAsia="黑体" w:cs="黑体"/>
          <w:sz w:val="36"/>
          <w:szCs w:val="36"/>
        </w:rPr>
        <w:t>专利代理委托合同</w:t>
      </w:r>
      <w:r>
        <w:rPr>
          <w:rFonts w:hint="eastAsia" w:ascii="黑体" w:hAnsi="黑体" w:eastAsia="黑体" w:cs="黑体"/>
          <w:sz w:val="36"/>
          <w:szCs w:val="36"/>
          <w:lang w:eastAsia="zh-CN"/>
        </w:rPr>
        <w:t>示范</w:t>
      </w:r>
      <w:r>
        <w:rPr>
          <w:rFonts w:hint="eastAsia" w:ascii="黑体" w:hAnsi="黑体" w:eastAsia="黑体" w:cs="黑体"/>
          <w:sz w:val="36"/>
          <w:szCs w:val="36"/>
        </w:rPr>
        <w:t>文本</w:t>
      </w:r>
    </w:p>
    <w:p>
      <w:pPr>
        <w:spacing w:line="660" w:lineRule="exact"/>
        <w:jc w:val="center"/>
        <w:outlineLvl w:val="0"/>
        <w:rPr>
          <w:rFonts w:hint="eastAsia" w:ascii="黑体" w:hAnsi="黑体" w:eastAsia="黑体"/>
          <w:sz w:val="36"/>
          <w:szCs w:val="36"/>
        </w:rPr>
      </w:pPr>
      <w:r>
        <w:rPr>
          <w:rFonts w:hint="eastAsia" w:ascii="黑体" w:hAnsi="黑体" w:eastAsia="黑体" w:cs="黑体"/>
          <w:sz w:val="36"/>
          <w:szCs w:val="36"/>
        </w:rPr>
        <w:t>签订指引</w:t>
      </w:r>
    </w:p>
    <w:p>
      <w:pPr>
        <w:spacing w:line="540" w:lineRule="exact"/>
        <w:jc w:val="center"/>
        <w:rPr>
          <w:rFonts w:eastAsia="黑体"/>
          <w:sz w:val="30"/>
          <w:szCs w:val="30"/>
        </w:rPr>
      </w:pPr>
    </w:p>
    <w:p>
      <w:pPr>
        <w:spacing w:line="540" w:lineRule="exact"/>
        <w:jc w:val="center"/>
        <w:rPr>
          <w:rFonts w:eastAsia="黑体"/>
          <w:sz w:val="30"/>
          <w:szCs w:val="30"/>
        </w:rPr>
      </w:pPr>
    </w:p>
    <w:p>
      <w:pPr>
        <w:spacing w:line="540" w:lineRule="exact"/>
        <w:jc w:val="center"/>
        <w:rPr>
          <w:rFonts w:eastAsia="黑体"/>
          <w:sz w:val="30"/>
          <w:szCs w:val="30"/>
        </w:rPr>
      </w:pPr>
    </w:p>
    <w:p>
      <w:pPr>
        <w:spacing w:line="540" w:lineRule="exact"/>
        <w:jc w:val="center"/>
        <w:rPr>
          <w:rFonts w:eastAsia="黑体"/>
          <w:sz w:val="30"/>
          <w:szCs w:val="30"/>
        </w:rPr>
      </w:pPr>
    </w:p>
    <w:p>
      <w:pPr>
        <w:spacing w:line="540" w:lineRule="exact"/>
        <w:jc w:val="center"/>
        <w:rPr>
          <w:rFonts w:eastAsia="黑体"/>
          <w:sz w:val="30"/>
          <w:szCs w:val="30"/>
        </w:rPr>
      </w:pPr>
    </w:p>
    <w:p>
      <w:pPr>
        <w:spacing w:line="540" w:lineRule="exact"/>
        <w:jc w:val="center"/>
        <w:rPr>
          <w:rFonts w:eastAsia="黑体"/>
          <w:sz w:val="30"/>
          <w:szCs w:val="30"/>
        </w:rPr>
      </w:pPr>
    </w:p>
    <w:p>
      <w:pPr>
        <w:spacing w:line="540" w:lineRule="exact"/>
        <w:jc w:val="center"/>
        <w:rPr>
          <w:rFonts w:eastAsia="黑体"/>
          <w:sz w:val="30"/>
          <w:szCs w:val="30"/>
        </w:rPr>
      </w:pPr>
    </w:p>
    <w:p>
      <w:pPr>
        <w:spacing w:line="540" w:lineRule="exact"/>
        <w:jc w:val="center"/>
        <w:rPr>
          <w:rFonts w:eastAsia="黑体"/>
          <w:sz w:val="30"/>
          <w:szCs w:val="30"/>
        </w:rPr>
      </w:pPr>
    </w:p>
    <w:p>
      <w:pPr>
        <w:spacing w:line="540" w:lineRule="exact"/>
        <w:jc w:val="center"/>
        <w:rPr>
          <w:rFonts w:eastAsia="黑体"/>
          <w:sz w:val="30"/>
          <w:szCs w:val="30"/>
        </w:rPr>
      </w:pPr>
    </w:p>
    <w:p>
      <w:pPr>
        <w:spacing w:line="540" w:lineRule="exact"/>
        <w:jc w:val="center"/>
        <w:rPr>
          <w:rFonts w:eastAsia="黑体"/>
          <w:sz w:val="30"/>
          <w:szCs w:val="30"/>
        </w:rPr>
      </w:pPr>
    </w:p>
    <w:p>
      <w:pPr>
        <w:spacing w:line="540" w:lineRule="exact"/>
        <w:jc w:val="center"/>
        <w:rPr>
          <w:rFonts w:eastAsia="黑体"/>
          <w:sz w:val="30"/>
          <w:szCs w:val="30"/>
        </w:rPr>
      </w:pPr>
    </w:p>
    <w:p>
      <w:pPr>
        <w:spacing w:line="540" w:lineRule="exact"/>
        <w:jc w:val="center"/>
        <w:rPr>
          <w:rFonts w:eastAsia="黑体"/>
          <w:sz w:val="30"/>
          <w:szCs w:val="30"/>
        </w:rPr>
      </w:pPr>
    </w:p>
    <w:p>
      <w:pPr>
        <w:spacing w:line="540" w:lineRule="exact"/>
        <w:jc w:val="center"/>
        <w:rPr>
          <w:rFonts w:eastAsia="黑体"/>
          <w:sz w:val="30"/>
          <w:szCs w:val="30"/>
        </w:rPr>
      </w:pPr>
    </w:p>
    <w:p>
      <w:pPr>
        <w:spacing w:line="540" w:lineRule="exact"/>
        <w:jc w:val="center"/>
        <w:rPr>
          <w:rFonts w:eastAsia="黑体"/>
          <w:sz w:val="30"/>
          <w:szCs w:val="30"/>
        </w:rPr>
      </w:pPr>
    </w:p>
    <w:p>
      <w:pPr>
        <w:spacing w:line="540" w:lineRule="exact"/>
        <w:jc w:val="center"/>
        <w:rPr>
          <w:rFonts w:hint="eastAsia" w:eastAsia="黑体"/>
          <w:sz w:val="30"/>
          <w:szCs w:val="30"/>
        </w:rPr>
      </w:pPr>
    </w:p>
    <w:p>
      <w:pPr>
        <w:spacing w:line="540" w:lineRule="exact"/>
        <w:jc w:val="center"/>
        <w:rPr>
          <w:rFonts w:eastAsia="黑体"/>
          <w:sz w:val="30"/>
          <w:szCs w:val="30"/>
        </w:rPr>
      </w:pPr>
    </w:p>
    <w:p>
      <w:pPr>
        <w:spacing w:line="360" w:lineRule="auto"/>
        <w:jc w:val="center"/>
        <w:outlineLvl w:val="1"/>
        <w:rPr>
          <w:rFonts w:hint="eastAsia" w:eastAsia="黑体"/>
          <w:sz w:val="30"/>
        </w:rPr>
      </w:pPr>
      <w:r>
        <w:rPr>
          <w:rFonts w:hint="eastAsia" w:eastAsia="黑体"/>
          <w:sz w:val="30"/>
        </w:rPr>
        <w:t>国家知识产权局</w:t>
      </w:r>
      <w:r>
        <w:rPr>
          <w:rFonts w:hint="eastAsia" w:eastAsia="黑体"/>
          <w:sz w:val="30"/>
          <w:lang w:eastAsia="zh-CN"/>
        </w:rPr>
        <w:t>制定</w:t>
      </w:r>
    </w:p>
    <w:p>
      <w:pPr>
        <w:spacing w:line="540" w:lineRule="exact"/>
        <w:jc w:val="center"/>
        <w:outlineLvl w:val="1"/>
        <w:rPr>
          <w:rFonts w:eastAsia="黑体"/>
          <w:sz w:val="30"/>
          <w:szCs w:val="30"/>
        </w:rPr>
      </w:pPr>
      <w:r>
        <w:rPr>
          <w:rFonts w:eastAsia="黑体"/>
          <w:sz w:val="30"/>
          <w:szCs w:val="30"/>
        </w:rPr>
        <w:t>202</w:t>
      </w:r>
      <w:r>
        <w:rPr>
          <w:rFonts w:hint="eastAsia" w:eastAsia="黑体"/>
          <w:sz w:val="30"/>
          <w:szCs w:val="30"/>
        </w:rPr>
        <w:t>4</w:t>
      </w:r>
      <w:r>
        <w:rPr>
          <w:rFonts w:hint="eastAsia" w:eastAsia="黑体" w:cs="黑体"/>
          <w:sz w:val="30"/>
          <w:szCs w:val="30"/>
        </w:rPr>
        <w:t>年 月</w:t>
      </w:r>
    </w:p>
    <w:p>
      <w:pPr>
        <w:spacing w:line="360" w:lineRule="auto"/>
        <w:jc w:val="center"/>
        <w:rPr>
          <w:rFonts w:hint="eastAsia" w:ascii="黑体" w:hAnsi="黑体" w:eastAsia="黑体"/>
          <w:sz w:val="44"/>
          <w:szCs w:val="44"/>
        </w:rPr>
      </w:pPr>
      <w:r>
        <w:rPr>
          <w:rFonts w:ascii="黑体" w:hAnsi="黑体" w:eastAsia="黑体"/>
          <w:sz w:val="44"/>
          <w:szCs w:val="44"/>
        </w:rPr>
        <w:br w:type="page"/>
      </w:r>
    </w:p>
    <w:p>
      <w:pPr>
        <w:spacing w:line="360" w:lineRule="auto"/>
        <w:jc w:val="center"/>
        <w:rPr>
          <w:rFonts w:ascii="黑体" w:hAnsi="黑体" w:eastAsia="黑体"/>
          <w:sz w:val="32"/>
          <w:szCs w:val="32"/>
        </w:rPr>
      </w:pPr>
      <w:r>
        <w:rPr>
          <w:rFonts w:hint="eastAsia" w:ascii="黑体" w:hAnsi="黑体" w:eastAsia="黑体"/>
          <w:sz w:val="32"/>
          <w:szCs w:val="32"/>
        </w:rPr>
        <w:t>专利代理委托合同</w:t>
      </w:r>
      <w:r>
        <w:rPr>
          <w:rFonts w:hint="eastAsia" w:ascii="黑体" w:hAnsi="黑体" w:eastAsia="黑体"/>
          <w:sz w:val="32"/>
          <w:szCs w:val="32"/>
          <w:lang w:eastAsia="zh-CN"/>
        </w:rPr>
        <w:t>示范</w:t>
      </w:r>
      <w:r>
        <w:rPr>
          <w:rFonts w:hint="eastAsia" w:ascii="黑体" w:hAnsi="黑体" w:eastAsia="黑体"/>
          <w:sz w:val="32"/>
          <w:szCs w:val="32"/>
        </w:rPr>
        <w:t>文本</w:t>
      </w:r>
    </w:p>
    <w:p>
      <w:pPr>
        <w:spacing w:line="360" w:lineRule="auto"/>
        <w:jc w:val="center"/>
        <w:rPr>
          <w:rFonts w:ascii="黑体" w:hAnsi="黑体" w:eastAsia="黑体"/>
          <w:sz w:val="32"/>
          <w:szCs w:val="32"/>
        </w:rPr>
      </w:pPr>
      <w:r>
        <w:rPr>
          <w:rFonts w:hint="eastAsia" w:ascii="黑体" w:hAnsi="黑体" w:eastAsia="黑体"/>
          <w:sz w:val="32"/>
          <w:szCs w:val="32"/>
        </w:rPr>
        <w:t>签订指引</w:t>
      </w:r>
    </w:p>
    <w:p>
      <w:pPr>
        <w:spacing w:line="400" w:lineRule="exact"/>
        <w:rPr>
          <w:rFonts w:hint="eastAsia" w:eastAsia="黑体"/>
          <w:szCs w:val="24"/>
        </w:rPr>
      </w:pPr>
    </w:p>
    <w:p>
      <w:pPr>
        <w:spacing w:line="520" w:lineRule="exact"/>
        <w:rPr>
          <w:rFonts w:eastAsia="黑体"/>
          <w:sz w:val="28"/>
          <w:szCs w:val="28"/>
        </w:rPr>
      </w:pPr>
      <w:r>
        <w:rPr>
          <w:rFonts w:hint="eastAsia" w:eastAsia="黑体"/>
          <w:sz w:val="28"/>
          <w:szCs w:val="28"/>
        </w:rPr>
        <w:t xml:space="preserve">    一、特别说明：</w:t>
      </w:r>
    </w:p>
    <w:p>
      <w:pPr>
        <w:spacing w:line="520" w:lineRule="exact"/>
        <w:ind w:firstLine="560" w:firstLineChars="200"/>
        <w:rPr>
          <w:sz w:val="28"/>
          <w:szCs w:val="28"/>
        </w:rPr>
      </w:pPr>
      <w:r>
        <w:rPr>
          <w:sz w:val="28"/>
          <w:szCs w:val="28"/>
        </w:rPr>
        <w:t>1.</w:t>
      </w:r>
      <w:r>
        <w:rPr>
          <w:rFonts w:hint="eastAsia"/>
          <w:sz w:val="28"/>
          <w:szCs w:val="28"/>
        </w:rPr>
        <w:t>专利代理委托合同</w:t>
      </w:r>
      <w:r>
        <w:rPr>
          <w:rFonts w:hint="eastAsia"/>
          <w:sz w:val="28"/>
          <w:szCs w:val="28"/>
          <w:lang w:eastAsia="zh-CN"/>
        </w:rPr>
        <w:t>示范</w:t>
      </w:r>
      <w:r>
        <w:rPr>
          <w:rFonts w:hint="eastAsia"/>
          <w:sz w:val="28"/>
          <w:szCs w:val="28"/>
        </w:rPr>
        <w:t>文本（以下简称“合同”）是有关中国专利代理事务的委托方和专利代理机构起草合同的参考，其内容不具有强制性，也不影响委托方和专利代理机构在依法依规协商一致的基础上增加、减少、修改合同文本的条款和内容。</w:t>
      </w:r>
    </w:p>
    <w:p>
      <w:pPr>
        <w:spacing w:line="520" w:lineRule="exact"/>
        <w:ind w:firstLine="560" w:firstLineChars="200"/>
        <w:rPr>
          <w:sz w:val="28"/>
          <w:szCs w:val="28"/>
        </w:rPr>
      </w:pPr>
      <w:r>
        <w:rPr>
          <w:sz w:val="28"/>
          <w:szCs w:val="28"/>
        </w:rPr>
        <w:t>2.</w:t>
      </w:r>
      <w:r>
        <w:rPr>
          <w:rFonts w:hint="eastAsia"/>
          <w:sz w:val="28"/>
          <w:szCs w:val="28"/>
        </w:rPr>
        <w:t>本合同签订指引仅是针对如何使用专利代理委托合同文本给出的说明指引，不是合同的组成部分，也不能取代合同条款和内容本身所表达的合同含义，更不能限制和影响委托方和专利代理机构在依法依规协商一致基础上</w:t>
      </w:r>
      <w:r>
        <w:rPr>
          <w:rFonts w:hint="eastAsia"/>
          <w:sz w:val="28"/>
          <w:szCs w:val="28"/>
          <w:lang w:eastAsia="zh-CN"/>
        </w:rPr>
        <w:t>，</w:t>
      </w:r>
      <w:r>
        <w:rPr>
          <w:rFonts w:hint="eastAsia"/>
          <w:sz w:val="28"/>
          <w:szCs w:val="28"/>
        </w:rPr>
        <w:t>对合同文本的条款和内容进行的更改和约定。委托方和专利代理机构应当在认真阅读和准确理解合同文本内容、充分表达各自意愿的基础上，约定具体合同条款和内容，作为双方签署的基础和履行的依据。</w:t>
      </w:r>
    </w:p>
    <w:p>
      <w:pPr>
        <w:spacing w:line="520" w:lineRule="exact"/>
        <w:ind w:firstLine="560" w:firstLineChars="200"/>
        <w:rPr>
          <w:sz w:val="28"/>
          <w:szCs w:val="28"/>
        </w:rPr>
      </w:pPr>
      <w:r>
        <w:rPr>
          <w:sz w:val="28"/>
          <w:szCs w:val="28"/>
        </w:rPr>
        <w:t xml:space="preserve">3. </w:t>
      </w:r>
      <w:r>
        <w:rPr>
          <w:rFonts w:hint="eastAsia"/>
          <w:sz w:val="28"/>
          <w:szCs w:val="28"/>
        </w:rPr>
        <w:t>如果法律、法规、部门规章对合同涉及的相关事项的规定发生调整和变化，则合同相应内容应当按照法律、法规、规章的新的</w:t>
      </w:r>
      <w:r>
        <w:rPr>
          <w:rFonts w:hint="eastAsia"/>
          <w:sz w:val="28"/>
          <w:szCs w:val="28"/>
          <w:lang w:eastAsia="zh-CN"/>
        </w:rPr>
        <w:t>强制性</w:t>
      </w:r>
      <w:r>
        <w:rPr>
          <w:rFonts w:hint="eastAsia"/>
          <w:sz w:val="28"/>
          <w:szCs w:val="28"/>
        </w:rPr>
        <w:t>规定进行修改和调整。</w:t>
      </w:r>
    </w:p>
    <w:p>
      <w:pPr>
        <w:spacing w:line="520" w:lineRule="exact"/>
        <w:ind w:firstLine="560" w:firstLineChars="200"/>
        <w:rPr>
          <w:rFonts w:eastAsia="黑体"/>
          <w:sz w:val="28"/>
          <w:szCs w:val="28"/>
        </w:rPr>
      </w:pPr>
      <w:r>
        <w:rPr>
          <w:rFonts w:hint="eastAsia" w:eastAsia="黑体"/>
          <w:sz w:val="28"/>
          <w:szCs w:val="28"/>
        </w:rPr>
        <w:t>二、合同封面、前言</w:t>
      </w:r>
    </w:p>
    <w:p>
      <w:pPr>
        <w:spacing w:line="520" w:lineRule="exact"/>
        <w:ind w:firstLine="560" w:firstLineChars="200"/>
        <w:rPr>
          <w:rFonts w:hint="eastAsia" w:eastAsia="黑体"/>
          <w:szCs w:val="24"/>
        </w:rPr>
      </w:pPr>
      <w:r>
        <w:rPr>
          <w:rFonts w:hint="eastAsia"/>
          <w:sz w:val="28"/>
          <w:szCs w:val="28"/>
        </w:rPr>
        <w:t>封面需要列明</w:t>
      </w:r>
      <w:bookmarkStart w:id="0" w:name="_Hlk141226706"/>
      <w:r>
        <w:rPr>
          <w:rFonts w:hint="eastAsia"/>
          <w:sz w:val="28"/>
          <w:szCs w:val="28"/>
        </w:rPr>
        <w:t>合同双方必要的基本信息，包括双方名称</w:t>
      </w:r>
      <w:bookmarkEnd w:id="0"/>
      <w:r>
        <w:rPr>
          <w:rFonts w:hint="eastAsia"/>
          <w:sz w:val="28"/>
          <w:szCs w:val="28"/>
        </w:rPr>
        <w:t>；需要填写合同本身的相关信息，包括签订日期等。</w:t>
      </w:r>
    </w:p>
    <w:p>
      <w:pPr>
        <w:spacing w:line="520" w:lineRule="exact"/>
        <w:ind w:firstLine="560" w:firstLineChars="200"/>
        <w:rPr>
          <w:rFonts w:ascii="宋体" w:hAnsi="宋体"/>
          <w:sz w:val="28"/>
          <w:szCs w:val="28"/>
        </w:rPr>
      </w:pPr>
      <w:r>
        <w:rPr>
          <w:rFonts w:hint="eastAsia" w:ascii="宋体" w:hAnsi="宋体"/>
          <w:sz w:val="28"/>
          <w:szCs w:val="28"/>
        </w:rPr>
        <w:t>前言部分需要列明合同双方的基本信息，包括名称、统一社会信用代码</w:t>
      </w:r>
      <w:r>
        <w:rPr>
          <w:rFonts w:ascii="宋体" w:hAnsi="宋体"/>
          <w:sz w:val="28"/>
          <w:szCs w:val="28"/>
        </w:rPr>
        <w:t>/</w:t>
      </w:r>
      <w:r>
        <w:rPr>
          <w:rFonts w:hint="eastAsia" w:ascii="宋体" w:hAnsi="宋体"/>
          <w:sz w:val="28"/>
          <w:szCs w:val="28"/>
        </w:rPr>
        <w:t>公民身份证号码、地址、联系方式、专利代理机构代码等。</w:t>
      </w:r>
    </w:p>
    <w:p>
      <w:pPr>
        <w:spacing w:line="520" w:lineRule="exact"/>
        <w:ind w:firstLine="560" w:firstLineChars="200"/>
        <w:rPr>
          <w:rFonts w:hint="eastAsia"/>
          <w:szCs w:val="24"/>
        </w:rPr>
      </w:pPr>
      <w:r>
        <w:rPr>
          <w:rFonts w:hint="eastAsia" w:ascii="宋体" w:hAnsi="宋体"/>
          <w:sz w:val="28"/>
          <w:szCs w:val="28"/>
        </w:rPr>
        <w:t>在合同文本基础上，当事人可以根据实际需要进一步进行补充，可考虑的内容包括但不限于发明创造的形成背景、专利代理机构的资质荣誉等。</w:t>
      </w:r>
    </w:p>
    <w:p>
      <w:pPr>
        <w:spacing w:line="520" w:lineRule="exact"/>
        <w:ind w:firstLine="560" w:firstLineChars="200"/>
        <w:rPr>
          <w:rFonts w:hint="eastAsia" w:eastAsia="黑体"/>
          <w:sz w:val="28"/>
          <w:szCs w:val="28"/>
        </w:rPr>
      </w:pPr>
      <w:bookmarkStart w:id="1" w:name="_Hlk141231043"/>
      <w:r>
        <w:rPr>
          <w:rFonts w:hint="eastAsia" w:eastAsia="黑体"/>
          <w:sz w:val="28"/>
          <w:szCs w:val="28"/>
        </w:rPr>
        <w:t>三、委托事项</w:t>
      </w:r>
    </w:p>
    <w:bookmarkEnd w:id="1"/>
    <w:p>
      <w:pPr>
        <w:spacing w:line="520" w:lineRule="exact"/>
        <w:ind w:firstLine="560" w:firstLineChars="200"/>
        <w:rPr>
          <w:rFonts w:hint="eastAsia" w:ascii="宋体" w:hAnsi="宋体"/>
          <w:sz w:val="28"/>
          <w:szCs w:val="28"/>
        </w:rPr>
      </w:pPr>
      <w:r>
        <w:rPr>
          <w:rFonts w:hint="eastAsia" w:ascii="宋体" w:hAnsi="宋体"/>
          <w:sz w:val="28"/>
          <w:szCs w:val="28"/>
        </w:rPr>
        <w:t>委托事项中，包含了专利申请、宣告专利权无效等属于专利代理机构行政许可执业范围的专利代理服务事项，以及文档查阅和复制、缴纳年费等其他事务性服务。</w:t>
      </w:r>
    </w:p>
    <w:p>
      <w:pPr>
        <w:spacing w:line="520" w:lineRule="exact"/>
        <w:ind w:firstLine="560" w:firstLineChars="200"/>
        <w:rPr>
          <w:rFonts w:hint="eastAsia" w:ascii="宋体" w:hAnsi="宋体"/>
          <w:sz w:val="28"/>
          <w:szCs w:val="28"/>
        </w:rPr>
      </w:pPr>
      <w:r>
        <w:rPr>
          <w:rFonts w:hint="eastAsia" w:ascii="宋体" w:hAnsi="宋体"/>
          <w:sz w:val="28"/>
          <w:szCs w:val="28"/>
        </w:rPr>
        <w:t>甲方可在表1-3中打勾选择委托乙方代理的中国专利事项，如果甲乙双方协商的委托事项不在合同文本所列出的事项中，则需要在“其他代理事项”中写明具体委托事项的内容。甲方委托事项较多的，可以增加附件。</w:t>
      </w:r>
    </w:p>
    <w:p>
      <w:pPr>
        <w:spacing w:line="520" w:lineRule="exact"/>
        <w:ind w:firstLine="560" w:firstLineChars="200"/>
        <w:rPr>
          <w:rFonts w:ascii="宋体" w:hAnsi="宋体"/>
          <w:sz w:val="28"/>
          <w:szCs w:val="28"/>
        </w:rPr>
      </w:pPr>
      <w:r>
        <w:rPr>
          <w:rFonts w:hint="eastAsia" w:ascii="宋体" w:hAnsi="宋体"/>
          <w:sz w:val="28"/>
          <w:szCs w:val="28"/>
        </w:rPr>
        <w:t>各项代理项目的费用，双方可在附表1-6中予以明确。</w:t>
      </w:r>
    </w:p>
    <w:p>
      <w:pPr>
        <w:spacing w:line="520" w:lineRule="exact"/>
        <w:ind w:firstLine="560" w:firstLineChars="200"/>
        <w:rPr>
          <w:rFonts w:eastAsia="黑体"/>
          <w:sz w:val="28"/>
          <w:szCs w:val="28"/>
        </w:rPr>
      </w:pPr>
      <w:r>
        <w:rPr>
          <w:rFonts w:hint="eastAsia" w:eastAsia="黑体"/>
          <w:sz w:val="28"/>
          <w:szCs w:val="28"/>
        </w:rPr>
        <w:t>四、甲乙双方的权利、义务</w:t>
      </w:r>
    </w:p>
    <w:p>
      <w:pPr>
        <w:spacing w:line="520" w:lineRule="exact"/>
        <w:ind w:firstLine="560" w:firstLineChars="200"/>
        <w:rPr>
          <w:rFonts w:hint="eastAsia" w:ascii="宋体" w:hAnsi="宋体"/>
          <w:sz w:val="28"/>
          <w:szCs w:val="28"/>
        </w:rPr>
      </w:pPr>
      <w:r>
        <w:rPr>
          <w:rFonts w:hint="eastAsia" w:ascii="宋体" w:hAnsi="宋体"/>
          <w:sz w:val="28"/>
          <w:szCs w:val="28"/>
        </w:rPr>
        <w:t>合同文本第二条、第三条明确合同履行过程中甲乙双方权利、义务，是维护双方的合法权益，保障合同顺利履行的重要内容。</w:t>
      </w:r>
    </w:p>
    <w:p>
      <w:pPr>
        <w:spacing w:line="520" w:lineRule="exact"/>
        <w:ind w:firstLine="560" w:firstLineChars="200"/>
        <w:rPr>
          <w:rFonts w:hint="eastAsia" w:ascii="宋体" w:hAnsi="宋体"/>
          <w:sz w:val="28"/>
          <w:szCs w:val="28"/>
        </w:rPr>
      </w:pPr>
      <w:r>
        <w:rPr>
          <w:rFonts w:hint="eastAsia" w:ascii="宋体" w:hAnsi="宋体"/>
          <w:sz w:val="28"/>
          <w:szCs w:val="28"/>
        </w:rPr>
        <w:t>第二条明确了甲方的权利</w:t>
      </w:r>
      <w:r>
        <w:rPr>
          <w:rFonts w:hint="eastAsia" w:ascii="宋体" w:hAnsi="宋体"/>
          <w:sz w:val="28"/>
          <w:szCs w:val="28"/>
          <w:lang w:eastAsia="zh-CN"/>
        </w:rPr>
        <w:t>和义务。</w:t>
      </w:r>
      <w:r>
        <w:rPr>
          <w:rFonts w:hint="eastAsia" w:ascii="宋体" w:hAnsi="宋体" w:eastAsia="宋体"/>
          <w:sz w:val="28"/>
          <w:szCs w:val="28"/>
          <w:lang w:eastAsia="zh-CN"/>
        </w:rPr>
        <w:t>其中</w:t>
      </w:r>
      <w:r>
        <w:rPr>
          <w:rFonts w:hint="eastAsia" w:ascii="宋体" w:hAnsi="宋体"/>
          <w:sz w:val="28"/>
          <w:szCs w:val="28"/>
        </w:rPr>
        <w:t>，</w:t>
      </w:r>
      <w:r>
        <w:rPr>
          <w:rFonts w:hint="eastAsia" w:ascii="宋体" w:hAnsi="宋体" w:eastAsia="宋体"/>
          <w:sz w:val="28"/>
          <w:szCs w:val="28"/>
          <w:lang w:eastAsia="zh-CN"/>
        </w:rPr>
        <w:t>甲方的权利</w:t>
      </w:r>
      <w:r>
        <w:rPr>
          <w:rFonts w:hint="eastAsia" w:ascii="宋体" w:hAnsi="宋体"/>
          <w:sz w:val="28"/>
          <w:szCs w:val="28"/>
        </w:rPr>
        <w:t>包括要求乙方提供资质相关信息、报告专利代理事项进展情况、变更专利代理师以及选择缴纳年费方式等；甲方的义务，包括提供必要的文件和技术资料、及时审阅和反馈代理服务意见、及时足额缴纳相关代理费用等。</w:t>
      </w:r>
    </w:p>
    <w:p>
      <w:pPr>
        <w:spacing w:line="520" w:lineRule="exact"/>
        <w:ind w:firstLine="560" w:firstLineChars="200"/>
        <w:rPr>
          <w:rFonts w:hint="eastAsia" w:ascii="宋体" w:hAnsi="宋体"/>
          <w:sz w:val="28"/>
          <w:szCs w:val="28"/>
        </w:rPr>
      </w:pPr>
      <w:r>
        <w:rPr>
          <w:rFonts w:hint="eastAsia" w:ascii="宋体" w:hAnsi="宋体"/>
          <w:sz w:val="28"/>
          <w:szCs w:val="28"/>
        </w:rPr>
        <w:t>第三条明确了乙方的权利</w:t>
      </w:r>
      <w:r>
        <w:rPr>
          <w:rFonts w:hint="eastAsia" w:ascii="宋体" w:hAnsi="宋体"/>
          <w:sz w:val="28"/>
          <w:szCs w:val="28"/>
          <w:lang w:eastAsia="zh-CN"/>
        </w:rPr>
        <w:t>和义务。其中</w:t>
      </w:r>
      <w:r>
        <w:rPr>
          <w:rFonts w:hint="eastAsia" w:ascii="宋体" w:hAnsi="宋体"/>
          <w:sz w:val="28"/>
          <w:szCs w:val="28"/>
        </w:rPr>
        <w:t>，</w:t>
      </w:r>
      <w:r>
        <w:rPr>
          <w:rFonts w:hint="eastAsia" w:ascii="宋体" w:hAnsi="宋体"/>
          <w:sz w:val="28"/>
          <w:szCs w:val="28"/>
          <w:lang w:eastAsia="zh-CN"/>
        </w:rPr>
        <w:t>乙方的权利</w:t>
      </w:r>
      <w:r>
        <w:rPr>
          <w:rFonts w:hint="eastAsia" w:ascii="宋体" w:hAnsi="宋体"/>
          <w:sz w:val="28"/>
          <w:szCs w:val="28"/>
        </w:rPr>
        <w:t>包括要求甲方提供必要的技术资料和委托函件、要求甲方及时并足额支付相关费用等。乙方的义务，包括及时、真实、详尽向甲方报告专利代理事项进展情况，并就官方审查意见向乙方提供专业的咨询建议等。</w:t>
      </w:r>
    </w:p>
    <w:p>
      <w:pPr>
        <w:spacing w:line="520" w:lineRule="exact"/>
        <w:ind w:firstLine="560" w:firstLineChars="200"/>
        <w:rPr>
          <w:rFonts w:hint="eastAsia" w:ascii="宋体" w:hAnsi="宋体"/>
          <w:sz w:val="28"/>
          <w:szCs w:val="28"/>
        </w:rPr>
      </w:pPr>
      <w:r>
        <w:rPr>
          <w:rFonts w:hint="eastAsia" w:ascii="宋体" w:hAnsi="宋体"/>
          <w:sz w:val="28"/>
          <w:szCs w:val="28"/>
        </w:rPr>
        <w:t>乙方提供的</w:t>
      </w:r>
      <w:r>
        <w:rPr>
          <w:rFonts w:hint="eastAsia"/>
          <w:bCs/>
          <w:sz w:val="28"/>
          <w:szCs w:val="28"/>
        </w:rPr>
        <w:t>专利代理机构及专利代理师执业信用评价信息可通过专利代理管理系统（</w:t>
      </w:r>
      <w:r>
        <w:rPr>
          <w:bCs/>
          <w:sz w:val="28"/>
          <w:szCs w:val="28"/>
        </w:rPr>
        <w:t>http</w:t>
      </w:r>
      <w:r>
        <w:rPr>
          <w:rFonts w:hint="eastAsia"/>
          <w:bCs/>
          <w:sz w:val="28"/>
          <w:szCs w:val="28"/>
        </w:rPr>
        <w:t>:</w:t>
      </w:r>
      <w:r>
        <w:rPr>
          <w:bCs/>
          <w:sz w:val="28"/>
          <w:szCs w:val="28"/>
        </w:rPr>
        <w:t>//dlgl.cnipa.gov.cn</w:t>
      </w:r>
      <w:r>
        <w:rPr>
          <w:rFonts w:hint="eastAsia"/>
          <w:bCs/>
          <w:sz w:val="28"/>
          <w:szCs w:val="28"/>
        </w:rPr>
        <w:t>）查询，</w:t>
      </w:r>
      <w:r>
        <w:rPr>
          <w:rFonts w:hint="eastAsia" w:ascii="宋体" w:hAnsi="宋体"/>
          <w:bCs/>
          <w:sz w:val="28"/>
          <w:szCs w:val="28"/>
        </w:rPr>
        <w:t>近三年是否存在</w:t>
      </w:r>
      <w:r>
        <w:rPr>
          <w:rFonts w:hint="eastAsia"/>
          <w:bCs/>
          <w:sz w:val="28"/>
          <w:szCs w:val="28"/>
        </w:rPr>
        <w:t>经营异常名录和严重违法失信名单的信息可通过国家企业信用信息公示系统（https://www.gsxt.gov.cn）和信用中国（https://www.creditchina.gov.cn）查询。</w:t>
      </w:r>
    </w:p>
    <w:p>
      <w:pPr>
        <w:spacing w:line="520" w:lineRule="exact"/>
        <w:ind w:firstLine="560" w:firstLineChars="200"/>
        <w:rPr>
          <w:rFonts w:hint="eastAsia" w:ascii="宋体" w:hAnsi="宋体"/>
          <w:sz w:val="28"/>
          <w:szCs w:val="28"/>
        </w:rPr>
      </w:pPr>
      <w:r>
        <w:rPr>
          <w:rFonts w:hint="eastAsia" w:ascii="宋体" w:hAnsi="宋体"/>
          <w:sz w:val="28"/>
          <w:szCs w:val="28"/>
        </w:rPr>
        <w:t>甲乙双方应当建立相应的联系人制度，以便代理服务的沟通顺畅高效。</w:t>
      </w:r>
    </w:p>
    <w:p>
      <w:pPr>
        <w:spacing w:line="520" w:lineRule="exact"/>
        <w:ind w:firstLine="560" w:firstLineChars="200"/>
        <w:rPr>
          <w:rFonts w:hint="eastAsia" w:ascii="宋体" w:hAnsi="宋体"/>
          <w:sz w:val="28"/>
          <w:szCs w:val="28"/>
        </w:rPr>
      </w:pPr>
      <w:r>
        <w:rPr>
          <w:rFonts w:hint="eastAsia" w:ascii="宋体" w:hAnsi="宋体"/>
          <w:sz w:val="28"/>
          <w:szCs w:val="28"/>
        </w:rPr>
        <w:t xml:space="preserve">甲乙双方可在依法依规协商一致的基础上，补充新的条款。 </w:t>
      </w:r>
    </w:p>
    <w:p>
      <w:pPr>
        <w:spacing w:line="520" w:lineRule="exact"/>
        <w:ind w:firstLine="560" w:firstLineChars="200"/>
        <w:rPr>
          <w:rFonts w:hint="eastAsia" w:eastAsia="黑体"/>
          <w:sz w:val="28"/>
          <w:szCs w:val="28"/>
        </w:rPr>
      </w:pPr>
      <w:r>
        <w:rPr>
          <w:rFonts w:hint="eastAsia" w:eastAsia="黑体"/>
          <w:sz w:val="28"/>
          <w:szCs w:val="28"/>
        </w:rPr>
        <w:t>五、保密义务</w:t>
      </w:r>
      <w:bookmarkStart w:id="2" w:name="tiao_14_kuan_2"/>
      <w:bookmarkEnd w:id="2"/>
      <w:bookmarkStart w:id="3" w:name="_Hlk141231394"/>
    </w:p>
    <w:p>
      <w:pPr>
        <w:spacing w:line="520" w:lineRule="exact"/>
        <w:ind w:firstLine="560" w:firstLineChars="200"/>
        <w:rPr>
          <w:rFonts w:hint="eastAsia" w:ascii="宋体" w:hAnsi="宋体"/>
          <w:sz w:val="28"/>
          <w:szCs w:val="28"/>
        </w:rPr>
      </w:pPr>
      <w:r>
        <w:rPr>
          <w:rFonts w:hint="eastAsia" w:ascii="宋体" w:hAnsi="宋体"/>
          <w:sz w:val="28"/>
          <w:szCs w:val="28"/>
        </w:rPr>
        <w:t>本条款中明确了甲乙双方的保密义务和可以不受保密义务约束的情形，还明确了违反保密协议的赔偿责任以及赔偿金的计算方式，具体的倍数由甲乙双方协商确定。</w:t>
      </w:r>
    </w:p>
    <w:p>
      <w:pPr>
        <w:spacing w:line="520" w:lineRule="exact"/>
        <w:ind w:firstLine="560" w:firstLineChars="200"/>
        <w:rPr>
          <w:rFonts w:eastAsia="黑体"/>
          <w:sz w:val="28"/>
          <w:szCs w:val="28"/>
        </w:rPr>
      </w:pPr>
      <w:r>
        <w:rPr>
          <w:rFonts w:hint="eastAsia" w:eastAsia="黑体"/>
          <w:sz w:val="28"/>
          <w:szCs w:val="28"/>
        </w:rPr>
        <w:t>六、工作期限</w:t>
      </w:r>
    </w:p>
    <w:bookmarkEnd w:id="3"/>
    <w:p>
      <w:pPr>
        <w:spacing w:line="520" w:lineRule="exact"/>
        <w:ind w:firstLine="560" w:firstLineChars="200"/>
        <w:rPr>
          <w:rFonts w:hint="eastAsia" w:ascii="宋体" w:hAnsi="宋体"/>
          <w:sz w:val="28"/>
          <w:szCs w:val="28"/>
        </w:rPr>
      </w:pPr>
      <w:r>
        <w:rPr>
          <w:rFonts w:hint="eastAsia" w:ascii="宋体" w:hAnsi="宋体"/>
          <w:sz w:val="28"/>
          <w:szCs w:val="28"/>
        </w:rPr>
        <w:t>专利事务代理过程中，包含多个直接关系甲方利益的重要时间节点。双方根据实际情况，可就专利事务代理过程中的工作期限进行约定，以避免</w:t>
      </w:r>
      <w:r>
        <w:rPr>
          <w:rFonts w:hint="eastAsia" w:cs="宋体"/>
          <w:sz w:val="28"/>
          <w:szCs w:val="28"/>
        </w:rPr>
        <w:t>双方在合同履行中发生争议</w:t>
      </w:r>
      <w:r>
        <w:rPr>
          <w:rFonts w:hint="eastAsia" w:ascii="宋体" w:hAnsi="宋体"/>
          <w:sz w:val="28"/>
          <w:szCs w:val="28"/>
        </w:rPr>
        <w:t>。甲方要求乙方加急处理的，可另行约定工作期限计算方式。</w:t>
      </w:r>
    </w:p>
    <w:p>
      <w:pPr>
        <w:spacing w:line="520" w:lineRule="exact"/>
        <w:ind w:firstLine="560" w:firstLineChars="200"/>
        <w:rPr>
          <w:rFonts w:hint="eastAsia" w:eastAsia="黑体"/>
          <w:sz w:val="28"/>
          <w:szCs w:val="28"/>
        </w:rPr>
      </w:pPr>
      <w:r>
        <w:rPr>
          <w:rFonts w:hint="eastAsia" w:eastAsia="黑体"/>
          <w:sz w:val="28"/>
          <w:szCs w:val="28"/>
        </w:rPr>
        <w:t>七、费用</w:t>
      </w:r>
    </w:p>
    <w:p>
      <w:pPr>
        <w:spacing w:line="520" w:lineRule="exact"/>
        <w:ind w:firstLine="560" w:firstLineChars="200"/>
        <w:rPr>
          <w:rFonts w:ascii="宋体" w:hAnsi="宋体"/>
          <w:sz w:val="28"/>
          <w:szCs w:val="28"/>
        </w:rPr>
      </w:pPr>
      <w:r>
        <w:rPr>
          <w:rFonts w:hint="eastAsia" w:ascii="宋体" w:hAnsi="宋体"/>
          <w:sz w:val="28"/>
          <w:szCs w:val="28"/>
        </w:rPr>
        <w:t>在本条款中明确了合同费用的组成内容，以及甲乙双方需约定付款期限。为使得费用支付完成，乙方还应填写正确的收款账户信息，甲方还应填写正确的开具发票的信息。</w:t>
      </w:r>
    </w:p>
    <w:p>
      <w:pPr>
        <w:spacing w:line="520" w:lineRule="exact"/>
        <w:ind w:firstLine="560" w:firstLineChars="200"/>
        <w:rPr>
          <w:rFonts w:hint="eastAsia" w:ascii="宋体" w:hAnsi="宋体"/>
          <w:sz w:val="28"/>
          <w:szCs w:val="28"/>
        </w:rPr>
      </w:pPr>
      <w:r>
        <w:rPr>
          <w:rFonts w:hint="eastAsia" w:ascii="宋体" w:hAnsi="宋体"/>
          <w:sz w:val="28"/>
          <w:szCs w:val="28"/>
        </w:rPr>
        <w:t>对于委托方是有下属企业或子公司的集团公司或总公司等情形的，在合同中明确约定委托的专利事务包括下属企业或子公司的事务，则可以在合同费用支付部分约定，下属企业或子公司委托专利代理机构办理专利事务的费用由集团公司或总公司统一支付。</w:t>
      </w:r>
    </w:p>
    <w:p>
      <w:pPr>
        <w:spacing w:line="520" w:lineRule="exact"/>
        <w:ind w:firstLine="560" w:firstLineChars="200"/>
        <w:rPr>
          <w:rFonts w:hint="eastAsia" w:ascii="宋体" w:hAnsi="宋体"/>
          <w:sz w:val="28"/>
          <w:szCs w:val="28"/>
        </w:rPr>
      </w:pPr>
      <w:r>
        <w:rPr>
          <w:rFonts w:hint="eastAsia" w:ascii="宋体" w:hAnsi="宋体"/>
          <w:sz w:val="28"/>
          <w:szCs w:val="28"/>
        </w:rPr>
        <w:t>如委托方和专利代理机构希望采用工时制收费，可以在合同中补充约定。</w:t>
      </w:r>
    </w:p>
    <w:p>
      <w:pPr>
        <w:spacing w:line="520" w:lineRule="exact"/>
        <w:ind w:firstLine="560" w:firstLineChars="200"/>
        <w:rPr>
          <w:rFonts w:hint="eastAsia" w:eastAsia="黑体"/>
          <w:sz w:val="28"/>
          <w:szCs w:val="28"/>
        </w:rPr>
      </w:pPr>
      <w:r>
        <w:rPr>
          <w:rFonts w:hint="eastAsia" w:eastAsia="黑体"/>
          <w:sz w:val="28"/>
          <w:szCs w:val="28"/>
        </w:rPr>
        <w:t>八、双方明确的共识</w:t>
      </w:r>
    </w:p>
    <w:p>
      <w:pPr>
        <w:spacing w:line="520" w:lineRule="exact"/>
        <w:ind w:firstLine="560" w:firstLineChars="200"/>
        <w:rPr>
          <w:rFonts w:hint="eastAsia" w:ascii="宋体" w:hAnsi="宋体"/>
          <w:sz w:val="28"/>
          <w:szCs w:val="28"/>
        </w:rPr>
      </w:pPr>
      <w:r>
        <w:rPr>
          <w:rFonts w:hint="eastAsia" w:ascii="宋体" w:hAnsi="宋体"/>
          <w:sz w:val="28"/>
          <w:szCs w:val="28"/>
        </w:rPr>
        <w:t>本条款明确了专利代理事务过程中，乙方不应当作出代理结果的承诺和保证，明确了乙方应当运用专业知识和能力维护甲方的合法权益，明确了乙方运用专业知识对所代理事项前景的分析和预测不是对代理结果的承诺和保证。</w:t>
      </w:r>
    </w:p>
    <w:p>
      <w:pPr>
        <w:spacing w:line="520" w:lineRule="exact"/>
        <w:ind w:firstLine="560" w:firstLineChars="200"/>
        <w:rPr>
          <w:rFonts w:eastAsia="黑体"/>
          <w:sz w:val="28"/>
          <w:szCs w:val="28"/>
        </w:rPr>
      </w:pPr>
      <w:r>
        <w:rPr>
          <w:rFonts w:hint="eastAsia" w:eastAsia="黑体"/>
          <w:sz w:val="28"/>
          <w:szCs w:val="28"/>
        </w:rPr>
        <w:t>九、违约责任</w:t>
      </w:r>
    </w:p>
    <w:p>
      <w:pPr>
        <w:spacing w:line="520" w:lineRule="exact"/>
        <w:ind w:firstLine="560" w:firstLineChars="200"/>
        <w:rPr>
          <w:rFonts w:hint="eastAsia" w:ascii="宋体" w:hAnsi="宋体"/>
          <w:sz w:val="28"/>
          <w:szCs w:val="28"/>
        </w:rPr>
      </w:pPr>
      <w:r>
        <w:rPr>
          <w:rFonts w:hint="eastAsia" w:ascii="宋体" w:hAnsi="宋体"/>
          <w:sz w:val="28"/>
          <w:szCs w:val="28"/>
        </w:rPr>
        <w:t>本条款针对专利代理容易出现的法律风险点与常见的违约情形分别细化设置违约责任条款。对于专利代理机构过错导致的违约情形，合同还设置了违约金或赔偿金的计算方式，具体的倍数由甲乙双方协商确定。</w:t>
      </w:r>
    </w:p>
    <w:p>
      <w:pPr>
        <w:spacing w:line="520" w:lineRule="exact"/>
        <w:ind w:firstLine="560" w:firstLineChars="200"/>
        <w:rPr>
          <w:rFonts w:eastAsia="黑体"/>
          <w:sz w:val="28"/>
          <w:szCs w:val="28"/>
        </w:rPr>
      </w:pPr>
      <w:bookmarkStart w:id="4" w:name="_Hlk141681848"/>
      <w:r>
        <w:rPr>
          <w:rFonts w:hint="eastAsia" w:eastAsia="黑体"/>
          <w:sz w:val="28"/>
          <w:szCs w:val="28"/>
        </w:rPr>
        <w:t>十、其他约定事项（选填）</w:t>
      </w:r>
    </w:p>
    <w:p>
      <w:pPr>
        <w:spacing w:line="520" w:lineRule="exact"/>
        <w:ind w:firstLine="560" w:firstLineChars="200"/>
        <w:outlineLvl w:val="0"/>
        <w:rPr>
          <w:rFonts w:hint="eastAsia" w:eastAsia="黑体"/>
          <w:sz w:val="28"/>
          <w:szCs w:val="28"/>
        </w:rPr>
      </w:pPr>
      <w:r>
        <w:rPr>
          <w:rFonts w:hint="eastAsia" w:ascii="宋体" w:hAnsi="宋体" w:cs="宋体"/>
          <w:sz w:val="28"/>
          <w:szCs w:val="28"/>
        </w:rPr>
        <w:t>甲乙双方可根据实际需要，就专利事务代理过程中的其他事项进行约定，或对某些事项进行特殊约定。例如：明确专利代理服务的次数和数量；明确专利代理过程中的定期监测和报告；明确文书的送达方式；不得将委托人业务自行转包第三方；对委托人的风险告知等。</w:t>
      </w:r>
    </w:p>
    <w:p>
      <w:pPr>
        <w:spacing w:line="520" w:lineRule="exact"/>
        <w:ind w:firstLine="560" w:firstLineChars="200"/>
        <w:rPr>
          <w:rFonts w:eastAsia="黑体"/>
          <w:sz w:val="28"/>
          <w:szCs w:val="28"/>
        </w:rPr>
      </w:pPr>
      <w:r>
        <w:rPr>
          <w:rFonts w:hint="eastAsia" w:eastAsia="黑体"/>
          <w:sz w:val="28"/>
          <w:szCs w:val="28"/>
        </w:rPr>
        <w:t>十一、争议解决方式</w:t>
      </w:r>
    </w:p>
    <w:bookmarkEnd w:id="4"/>
    <w:p>
      <w:pPr>
        <w:spacing w:line="520" w:lineRule="exact"/>
        <w:ind w:firstLine="560" w:firstLineChars="200"/>
        <w:rPr>
          <w:rFonts w:ascii="宋体" w:hAnsi="宋体"/>
          <w:sz w:val="28"/>
          <w:szCs w:val="28"/>
        </w:rPr>
      </w:pPr>
      <w:r>
        <w:rPr>
          <w:rFonts w:hint="eastAsia" w:ascii="宋体" w:hAnsi="宋体"/>
          <w:sz w:val="28"/>
          <w:szCs w:val="28"/>
        </w:rPr>
        <w:t>本条款甲乙双方可就合同内容发生争议后，所采取的</w:t>
      </w:r>
      <w:r>
        <w:rPr>
          <w:rFonts w:hint="eastAsia" w:ascii="宋体" w:hAnsi="宋体"/>
          <w:sz w:val="28"/>
          <w:szCs w:val="28"/>
          <w:lang w:eastAsia="zh-CN"/>
        </w:rPr>
        <w:t>争议</w:t>
      </w:r>
      <w:r>
        <w:rPr>
          <w:rFonts w:hint="eastAsia" w:ascii="宋体" w:hAnsi="宋体"/>
          <w:sz w:val="28"/>
          <w:szCs w:val="28"/>
        </w:rPr>
        <w:t>解决方式</w:t>
      </w:r>
      <w:r>
        <w:rPr>
          <w:rFonts w:hint="eastAsia" w:ascii="宋体" w:hAnsi="宋体"/>
          <w:sz w:val="28"/>
          <w:szCs w:val="28"/>
          <w:lang w:eastAsia="zh-CN"/>
        </w:rPr>
        <w:t>进行</w:t>
      </w:r>
      <w:r>
        <w:rPr>
          <w:rFonts w:hint="eastAsia" w:ascii="宋体" w:hAnsi="宋体"/>
          <w:sz w:val="28"/>
          <w:szCs w:val="28"/>
        </w:rPr>
        <w:t>约定。从效率方面考虑，仲裁比较占优势。首先，仲裁的受理和开庭程序相对简单，诉讼相对复杂；其次，仲裁实行一裁终局，裁决立即生效</w:t>
      </w:r>
      <w:r>
        <w:rPr>
          <w:rFonts w:hint="eastAsia" w:ascii="宋体" w:hAnsi="宋体" w:eastAsia="宋体"/>
          <w:sz w:val="28"/>
          <w:szCs w:val="28"/>
          <w:lang w:eastAsia="zh-CN"/>
        </w:rPr>
        <w:t>，争议解决耗时相对较短，而</w:t>
      </w:r>
      <w:r>
        <w:rPr>
          <w:rFonts w:hint="eastAsia" w:ascii="宋体" w:hAnsi="宋体"/>
          <w:sz w:val="28"/>
          <w:szCs w:val="28"/>
        </w:rPr>
        <w:t>我国诉讼实行两审终审，当事人不服一审判决的还可上诉，并且提起上诉程序仍需时间</w:t>
      </w:r>
      <w:r>
        <w:rPr>
          <w:rFonts w:hint="eastAsia" w:ascii="宋体" w:hAnsi="宋体" w:eastAsia="宋体"/>
          <w:sz w:val="28"/>
          <w:szCs w:val="28"/>
          <w:lang w:eastAsia="zh-CN"/>
        </w:rPr>
        <w:t>，耗时相对较长</w:t>
      </w:r>
      <w:r>
        <w:rPr>
          <w:rFonts w:hint="eastAsia" w:ascii="宋体" w:hAnsi="宋体"/>
          <w:sz w:val="28"/>
          <w:szCs w:val="28"/>
        </w:rPr>
        <w:t>。</w:t>
      </w:r>
    </w:p>
    <w:p>
      <w:pPr>
        <w:spacing w:line="520" w:lineRule="exact"/>
        <w:ind w:firstLine="560" w:firstLineChars="200"/>
        <w:rPr>
          <w:rFonts w:hint="eastAsia" w:ascii="宋体" w:hAnsi="宋体"/>
          <w:sz w:val="28"/>
          <w:szCs w:val="28"/>
        </w:rPr>
      </w:pPr>
      <w:r>
        <w:rPr>
          <w:rFonts w:hint="eastAsia" w:ascii="宋体" w:hAnsi="宋体"/>
          <w:sz w:val="28"/>
          <w:szCs w:val="28"/>
        </w:rPr>
        <w:t>从权利救济方面考虑，仲裁是一裁终局，在快捷方便的同时，失去了</w:t>
      </w:r>
      <w:r>
        <w:rPr>
          <w:rFonts w:hint="eastAsia" w:ascii="宋体" w:hAnsi="宋体" w:eastAsia="宋体"/>
          <w:sz w:val="28"/>
          <w:szCs w:val="28"/>
          <w:lang w:eastAsia="zh-CN"/>
        </w:rPr>
        <w:t>诉讼程序中</w:t>
      </w:r>
      <w:r>
        <w:rPr>
          <w:rFonts w:hint="eastAsia" w:ascii="宋体" w:hAnsi="宋体"/>
          <w:sz w:val="28"/>
          <w:szCs w:val="28"/>
        </w:rPr>
        <w:t>二审的监督作用，当事人没有进一步主张权利的回旋余地（在法定情况下，当事人可以向法院申请撤销仲裁裁决）。相比而言，由于诉讼是两审终审，</w:t>
      </w:r>
      <w:r>
        <w:rPr>
          <w:rFonts w:hint="eastAsia" w:ascii="宋体" w:hAnsi="宋体" w:eastAsia="宋体"/>
          <w:sz w:val="28"/>
          <w:szCs w:val="28"/>
          <w:lang w:eastAsia="zh-CN"/>
        </w:rPr>
        <w:t>任何一方当事人不服一审判决的还可上诉，</w:t>
      </w:r>
      <w:r>
        <w:rPr>
          <w:rFonts w:hint="eastAsia" w:ascii="宋体" w:hAnsi="宋体"/>
          <w:sz w:val="28"/>
          <w:szCs w:val="28"/>
        </w:rPr>
        <w:t>即便是发生了法律效力的判决，当事人还可以向上级法院申请再审，救济途径相对更广。</w:t>
      </w:r>
    </w:p>
    <w:p>
      <w:pPr>
        <w:spacing w:line="520" w:lineRule="exact"/>
        <w:ind w:firstLine="560" w:firstLineChars="200"/>
        <w:rPr>
          <w:rFonts w:hint="eastAsia" w:eastAsia="黑体"/>
          <w:sz w:val="28"/>
          <w:szCs w:val="28"/>
        </w:rPr>
      </w:pPr>
      <w:r>
        <w:rPr>
          <w:rFonts w:hint="eastAsia" w:eastAsia="黑体"/>
          <w:sz w:val="28"/>
          <w:szCs w:val="28"/>
        </w:rPr>
        <w:t>十二、合同的期限、解除</w:t>
      </w:r>
    </w:p>
    <w:p>
      <w:pPr>
        <w:spacing w:line="520" w:lineRule="exact"/>
        <w:ind w:firstLine="560" w:firstLineChars="200"/>
        <w:rPr>
          <w:rFonts w:hint="eastAsia" w:ascii="宋体" w:hAnsi="宋体"/>
          <w:sz w:val="28"/>
          <w:szCs w:val="28"/>
        </w:rPr>
      </w:pPr>
      <w:r>
        <w:rPr>
          <w:rFonts w:hint="eastAsia" w:ascii="宋体" w:hAnsi="宋体"/>
          <w:sz w:val="28"/>
          <w:szCs w:val="28"/>
        </w:rPr>
        <w:t>本条款提供了两种可供选择的合同期限，双方可根据委托事项的具体内容，约定合同期限。合同期限到期后，甲方委托事项未办结的，双方可选择续约，未续约且有代理事项尚未办理完毕的，乙方仍有义务妥善处理甲方已委托办理的事项。</w:t>
      </w:r>
    </w:p>
    <w:p>
      <w:pPr>
        <w:spacing w:line="520" w:lineRule="exact"/>
        <w:ind w:firstLine="560" w:firstLineChars="200"/>
        <w:rPr>
          <w:rFonts w:hint="eastAsia" w:eastAsia="黑体"/>
          <w:sz w:val="28"/>
          <w:szCs w:val="28"/>
        </w:rPr>
      </w:pPr>
      <w:r>
        <w:rPr>
          <w:rFonts w:hint="eastAsia" w:eastAsia="黑体"/>
          <w:sz w:val="28"/>
          <w:szCs w:val="28"/>
        </w:rPr>
        <w:t>十三、合同的生效、变更和终止</w:t>
      </w:r>
    </w:p>
    <w:p>
      <w:pPr>
        <w:spacing w:line="520" w:lineRule="exact"/>
        <w:ind w:firstLine="560" w:firstLineChars="200"/>
        <w:rPr>
          <w:rFonts w:hint="eastAsia" w:ascii="宋体" w:hAnsi="宋体"/>
          <w:sz w:val="28"/>
          <w:szCs w:val="28"/>
        </w:rPr>
      </w:pPr>
      <w:r>
        <w:rPr>
          <w:rFonts w:hint="eastAsia" w:ascii="宋体" w:hAnsi="宋体"/>
          <w:sz w:val="28"/>
          <w:szCs w:val="28"/>
        </w:rPr>
        <w:t>本条款为一般合同的基本条款，甲乙双方需明确合同及附件的页数、各自所持有的合同份数。</w:t>
      </w:r>
    </w:p>
    <w:p>
      <w:pPr>
        <w:spacing w:line="520" w:lineRule="exact"/>
        <w:ind w:firstLine="560" w:firstLineChars="200"/>
        <w:rPr>
          <w:rFonts w:ascii="宋体" w:hAnsi="宋体"/>
          <w:sz w:val="28"/>
          <w:szCs w:val="28"/>
        </w:rPr>
      </w:pPr>
      <w:r>
        <w:rPr>
          <w:rFonts w:hint="eastAsia" w:ascii="宋体" w:hAnsi="宋体"/>
          <w:sz w:val="28"/>
          <w:szCs w:val="28"/>
        </w:rPr>
        <w:t>另需注意该条款下的甲、乙方名称、填写日期应和封面、前言中保持一致。</w:t>
      </w:r>
    </w:p>
    <w:sectPr>
      <w:footerReference r:id="rId3" w:type="default"/>
      <w:pgSz w:w="11906" w:h="16838"/>
      <w:pgMar w:top="1418" w:right="1418" w:bottom="1418" w:left="1418"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lang w:val="zh-CN"/>
      </w:rPr>
      <w:t xml:space="preserve"> </w:t>
    </w:r>
    <w:r>
      <w:rPr>
        <w:b/>
        <w:bCs/>
      </w:rPr>
      <w:fldChar w:fldCharType="begin"/>
    </w:r>
    <w:r>
      <w:rPr>
        <w:b/>
        <w:bCs/>
      </w:rPr>
      <w:instrText xml:space="preserve">PAGE</w:instrText>
    </w:r>
    <w:r>
      <w:rPr>
        <w:b/>
        <w:bCs/>
      </w:rPr>
      <w:fldChar w:fldCharType="separate"/>
    </w:r>
    <w:r>
      <w:rPr>
        <w:b/>
        <w:bCs/>
        <w:lang/>
      </w:rPr>
      <w:t>1</w:t>
    </w:r>
    <w:r>
      <w:rPr>
        <w:b/>
        <w:bCs/>
      </w:rPr>
      <w:fldChar w:fldCharType="end"/>
    </w:r>
    <w:r>
      <w:rPr>
        <w:lang w:val="zh-CN"/>
      </w:rPr>
      <w:t xml:space="preserve"> / </w:t>
    </w:r>
    <w:r>
      <w:rPr>
        <w:b/>
        <w:bCs/>
      </w:rPr>
      <w:fldChar w:fldCharType="begin"/>
    </w:r>
    <w:r>
      <w:rPr>
        <w:b/>
        <w:bCs/>
      </w:rPr>
      <w:instrText xml:space="preserve">NUMPAGES</w:instrText>
    </w:r>
    <w:r>
      <w:rPr>
        <w:b/>
        <w:bCs/>
      </w:rPr>
      <w:fldChar w:fldCharType="separate"/>
    </w:r>
    <w:r>
      <w:rPr>
        <w:b/>
        <w:bCs/>
        <w:lang/>
      </w:rPr>
      <w:t>6</w:t>
    </w:r>
    <w:r>
      <w:rPr>
        <w:b/>
        <w:bCs/>
      </w:rPr>
      <w:fldChar w:fldCharType="end"/>
    </w:r>
  </w:p>
  <w:p>
    <w:pPr>
      <w:pStyle w:val="5"/>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局文秘(发文、纪要)">
    <w15:presenceInfo w15:providerId="None" w15:userId="局文秘(发文、纪要)"/>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oNotHyphenateCaps/>
  <w:drawingGridHorizontalSpacing w:val="120"/>
  <w:drawingGridVerticalSpacing w:val="163"/>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3MTY0YzNiYzQwYTdhOGUxYzlkZjUzOWUyODZkNDUifQ=="/>
  </w:docVars>
  <w:rsids>
    <w:rsidRoot w:val="0002594E"/>
    <w:rsid w:val="000000A0"/>
    <w:rsid w:val="00004434"/>
    <w:rsid w:val="00010489"/>
    <w:rsid w:val="00023FB0"/>
    <w:rsid w:val="0002594E"/>
    <w:rsid w:val="000315DB"/>
    <w:rsid w:val="00036861"/>
    <w:rsid w:val="00060F2E"/>
    <w:rsid w:val="00062CB8"/>
    <w:rsid w:val="0007667E"/>
    <w:rsid w:val="000B4DC9"/>
    <w:rsid w:val="000C4B8D"/>
    <w:rsid w:val="000D43D6"/>
    <w:rsid w:val="000D4C52"/>
    <w:rsid w:val="000E1712"/>
    <w:rsid w:val="000F295E"/>
    <w:rsid w:val="000F6252"/>
    <w:rsid w:val="00101CE6"/>
    <w:rsid w:val="001047FE"/>
    <w:rsid w:val="00126158"/>
    <w:rsid w:val="00127770"/>
    <w:rsid w:val="00137901"/>
    <w:rsid w:val="00140919"/>
    <w:rsid w:val="0015052B"/>
    <w:rsid w:val="0015064B"/>
    <w:rsid w:val="001554AA"/>
    <w:rsid w:val="00161F08"/>
    <w:rsid w:val="001679D6"/>
    <w:rsid w:val="00173B27"/>
    <w:rsid w:val="0017738D"/>
    <w:rsid w:val="00194699"/>
    <w:rsid w:val="001A5747"/>
    <w:rsid w:val="001B468E"/>
    <w:rsid w:val="001C3507"/>
    <w:rsid w:val="001C456D"/>
    <w:rsid w:val="001C4F64"/>
    <w:rsid w:val="001D072A"/>
    <w:rsid w:val="001D298B"/>
    <w:rsid w:val="001D33A8"/>
    <w:rsid w:val="001D46DF"/>
    <w:rsid w:val="001E16A2"/>
    <w:rsid w:val="001E314D"/>
    <w:rsid w:val="002028CF"/>
    <w:rsid w:val="002116DC"/>
    <w:rsid w:val="002133D4"/>
    <w:rsid w:val="00222129"/>
    <w:rsid w:val="0023337F"/>
    <w:rsid w:val="002417C7"/>
    <w:rsid w:val="0024228C"/>
    <w:rsid w:val="00243B3B"/>
    <w:rsid w:val="00246E79"/>
    <w:rsid w:val="00255048"/>
    <w:rsid w:val="002603DD"/>
    <w:rsid w:val="0026041A"/>
    <w:rsid w:val="00262A36"/>
    <w:rsid w:val="002673E9"/>
    <w:rsid w:val="00273AD9"/>
    <w:rsid w:val="00276CC9"/>
    <w:rsid w:val="0029339B"/>
    <w:rsid w:val="002A15EC"/>
    <w:rsid w:val="002A38A7"/>
    <w:rsid w:val="002B1A06"/>
    <w:rsid w:val="002B57FC"/>
    <w:rsid w:val="002C247B"/>
    <w:rsid w:val="002C4B67"/>
    <w:rsid w:val="002C518A"/>
    <w:rsid w:val="002C6B02"/>
    <w:rsid w:val="002F2D73"/>
    <w:rsid w:val="00302F18"/>
    <w:rsid w:val="00313088"/>
    <w:rsid w:val="00323E7C"/>
    <w:rsid w:val="00340D3D"/>
    <w:rsid w:val="003412C7"/>
    <w:rsid w:val="00343F46"/>
    <w:rsid w:val="00347375"/>
    <w:rsid w:val="0036101A"/>
    <w:rsid w:val="00364E95"/>
    <w:rsid w:val="00366B76"/>
    <w:rsid w:val="00370757"/>
    <w:rsid w:val="003728F0"/>
    <w:rsid w:val="003742F3"/>
    <w:rsid w:val="0037454E"/>
    <w:rsid w:val="00380F4A"/>
    <w:rsid w:val="003A22E8"/>
    <w:rsid w:val="003C740E"/>
    <w:rsid w:val="003D01E7"/>
    <w:rsid w:val="003D2EE8"/>
    <w:rsid w:val="003D460F"/>
    <w:rsid w:val="003D5AF4"/>
    <w:rsid w:val="003E15D0"/>
    <w:rsid w:val="003E3ACE"/>
    <w:rsid w:val="003F1E4E"/>
    <w:rsid w:val="003F5102"/>
    <w:rsid w:val="00403497"/>
    <w:rsid w:val="0040554B"/>
    <w:rsid w:val="0040635E"/>
    <w:rsid w:val="0041226C"/>
    <w:rsid w:val="0041390B"/>
    <w:rsid w:val="00420A88"/>
    <w:rsid w:val="00424E95"/>
    <w:rsid w:val="00434467"/>
    <w:rsid w:val="0044517F"/>
    <w:rsid w:val="00445792"/>
    <w:rsid w:val="00451904"/>
    <w:rsid w:val="004542B4"/>
    <w:rsid w:val="00456226"/>
    <w:rsid w:val="00467E45"/>
    <w:rsid w:val="00474FFA"/>
    <w:rsid w:val="00476409"/>
    <w:rsid w:val="00481C87"/>
    <w:rsid w:val="0048515F"/>
    <w:rsid w:val="00485190"/>
    <w:rsid w:val="00490B41"/>
    <w:rsid w:val="0049633B"/>
    <w:rsid w:val="004A1272"/>
    <w:rsid w:val="004A51CA"/>
    <w:rsid w:val="004B5628"/>
    <w:rsid w:val="004B67B0"/>
    <w:rsid w:val="004C0143"/>
    <w:rsid w:val="004C1C98"/>
    <w:rsid w:val="004C64BE"/>
    <w:rsid w:val="004C6D7D"/>
    <w:rsid w:val="004D3588"/>
    <w:rsid w:val="004D7DC5"/>
    <w:rsid w:val="004E15C3"/>
    <w:rsid w:val="004E185F"/>
    <w:rsid w:val="004E35F8"/>
    <w:rsid w:val="004F1D72"/>
    <w:rsid w:val="004F610C"/>
    <w:rsid w:val="00535D9C"/>
    <w:rsid w:val="00557E49"/>
    <w:rsid w:val="005630B0"/>
    <w:rsid w:val="00595303"/>
    <w:rsid w:val="005A5869"/>
    <w:rsid w:val="005A7175"/>
    <w:rsid w:val="005B50F4"/>
    <w:rsid w:val="005C0E70"/>
    <w:rsid w:val="005D3C45"/>
    <w:rsid w:val="005D45DF"/>
    <w:rsid w:val="005D5F53"/>
    <w:rsid w:val="005D6461"/>
    <w:rsid w:val="005E52F8"/>
    <w:rsid w:val="005E71F9"/>
    <w:rsid w:val="005F55F4"/>
    <w:rsid w:val="006107D5"/>
    <w:rsid w:val="00611685"/>
    <w:rsid w:val="00613355"/>
    <w:rsid w:val="006177CE"/>
    <w:rsid w:val="00624538"/>
    <w:rsid w:val="00646554"/>
    <w:rsid w:val="00653A90"/>
    <w:rsid w:val="006763C2"/>
    <w:rsid w:val="006765BD"/>
    <w:rsid w:val="006840CC"/>
    <w:rsid w:val="006845C9"/>
    <w:rsid w:val="00694324"/>
    <w:rsid w:val="006A343B"/>
    <w:rsid w:val="006C6BA8"/>
    <w:rsid w:val="006C7610"/>
    <w:rsid w:val="006D79DF"/>
    <w:rsid w:val="006E1B36"/>
    <w:rsid w:val="006F064C"/>
    <w:rsid w:val="006F1887"/>
    <w:rsid w:val="007249F8"/>
    <w:rsid w:val="007316E8"/>
    <w:rsid w:val="0074684F"/>
    <w:rsid w:val="007637F0"/>
    <w:rsid w:val="007734CF"/>
    <w:rsid w:val="00777ECF"/>
    <w:rsid w:val="00784A1B"/>
    <w:rsid w:val="00786F11"/>
    <w:rsid w:val="00796417"/>
    <w:rsid w:val="0079773D"/>
    <w:rsid w:val="007A7B72"/>
    <w:rsid w:val="007B64A7"/>
    <w:rsid w:val="007C693A"/>
    <w:rsid w:val="007E0143"/>
    <w:rsid w:val="007E3A02"/>
    <w:rsid w:val="007F6198"/>
    <w:rsid w:val="00813AFB"/>
    <w:rsid w:val="008151DF"/>
    <w:rsid w:val="00817E29"/>
    <w:rsid w:val="00823EEF"/>
    <w:rsid w:val="00832428"/>
    <w:rsid w:val="00835D86"/>
    <w:rsid w:val="00840F1C"/>
    <w:rsid w:val="0084449C"/>
    <w:rsid w:val="00845A26"/>
    <w:rsid w:val="008638C2"/>
    <w:rsid w:val="0086643A"/>
    <w:rsid w:val="008712C2"/>
    <w:rsid w:val="008943FC"/>
    <w:rsid w:val="008B16EA"/>
    <w:rsid w:val="008B5FCB"/>
    <w:rsid w:val="008B6603"/>
    <w:rsid w:val="008B700B"/>
    <w:rsid w:val="008C0B3A"/>
    <w:rsid w:val="008C0DE4"/>
    <w:rsid w:val="008C5839"/>
    <w:rsid w:val="008D15CE"/>
    <w:rsid w:val="008D48BF"/>
    <w:rsid w:val="008E3957"/>
    <w:rsid w:val="008E5D30"/>
    <w:rsid w:val="00900CBC"/>
    <w:rsid w:val="009135B4"/>
    <w:rsid w:val="00921731"/>
    <w:rsid w:val="00924B81"/>
    <w:rsid w:val="00936B7A"/>
    <w:rsid w:val="00937C68"/>
    <w:rsid w:val="00942411"/>
    <w:rsid w:val="00947A2E"/>
    <w:rsid w:val="00950D94"/>
    <w:rsid w:val="00956FFB"/>
    <w:rsid w:val="0096571C"/>
    <w:rsid w:val="009726ED"/>
    <w:rsid w:val="00975EE3"/>
    <w:rsid w:val="00983A3B"/>
    <w:rsid w:val="00987044"/>
    <w:rsid w:val="00992D24"/>
    <w:rsid w:val="00996180"/>
    <w:rsid w:val="009A66C7"/>
    <w:rsid w:val="009B6A32"/>
    <w:rsid w:val="009B76F4"/>
    <w:rsid w:val="009C4A3F"/>
    <w:rsid w:val="009C6F43"/>
    <w:rsid w:val="009E1D2D"/>
    <w:rsid w:val="009E70E1"/>
    <w:rsid w:val="00A00FE4"/>
    <w:rsid w:val="00A263B8"/>
    <w:rsid w:val="00A30A48"/>
    <w:rsid w:val="00A33AAC"/>
    <w:rsid w:val="00A35A1D"/>
    <w:rsid w:val="00A415C9"/>
    <w:rsid w:val="00A4623B"/>
    <w:rsid w:val="00A552D9"/>
    <w:rsid w:val="00A65225"/>
    <w:rsid w:val="00A71A98"/>
    <w:rsid w:val="00A814C4"/>
    <w:rsid w:val="00A83447"/>
    <w:rsid w:val="00A87ECF"/>
    <w:rsid w:val="00A92F04"/>
    <w:rsid w:val="00AB3DD7"/>
    <w:rsid w:val="00AF030C"/>
    <w:rsid w:val="00AF41FB"/>
    <w:rsid w:val="00B07DCE"/>
    <w:rsid w:val="00B23E2F"/>
    <w:rsid w:val="00B23FCF"/>
    <w:rsid w:val="00B368FF"/>
    <w:rsid w:val="00B5729E"/>
    <w:rsid w:val="00BA5877"/>
    <w:rsid w:val="00BB0029"/>
    <w:rsid w:val="00BB3DA0"/>
    <w:rsid w:val="00BC7570"/>
    <w:rsid w:val="00BD0DA5"/>
    <w:rsid w:val="00BE0EAB"/>
    <w:rsid w:val="00BE2E13"/>
    <w:rsid w:val="00BE6481"/>
    <w:rsid w:val="00BE7BA2"/>
    <w:rsid w:val="00BF2149"/>
    <w:rsid w:val="00C16EEB"/>
    <w:rsid w:val="00C25845"/>
    <w:rsid w:val="00C301EC"/>
    <w:rsid w:val="00C30452"/>
    <w:rsid w:val="00C46D2C"/>
    <w:rsid w:val="00C51A57"/>
    <w:rsid w:val="00C62BCA"/>
    <w:rsid w:val="00C64F5E"/>
    <w:rsid w:val="00C67A6C"/>
    <w:rsid w:val="00C7247A"/>
    <w:rsid w:val="00C72887"/>
    <w:rsid w:val="00C77324"/>
    <w:rsid w:val="00C9480D"/>
    <w:rsid w:val="00CA0E99"/>
    <w:rsid w:val="00CD1B1D"/>
    <w:rsid w:val="00CD7474"/>
    <w:rsid w:val="00CE2C49"/>
    <w:rsid w:val="00CF075E"/>
    <w:rsid w:val="00D055BE"/>
    <w:rsid w:val="00D07884"/>
    <w:rsid w:val="00D129DF"/>
    <w:rsid w:val="00D16410"/>
    <w:rsid w:val="00D26AFF"/>
    <w:rsid w:val="00D45FCC"/>
    <w:rsid w:val="00D53B99"/>
    <w:rsid w:val="00D5745B"/>
    <w:rsid w:val="00D60BC0"/>
    <w:rsid w:val="00D85985"/>
    <w:rsid w:val="00D9216E"/>
    <w:rsid w:val="00D94181"/>
    <w:rsid w:val="00DA4496"/>
    <w:rsid w:val="00DB02D3"/>
    <w:rsid w:val="00DB238B"/>
    <w:rsid w:val="00DB4E21"/>
    <w:rsid w:val="00DC43CA"/>
    <w:rsid w:val="00DD0F21"/>
    <w:rsid w:val="00DE0408"/>
    <w:rsid w:val="00DE3E98"/>
    <w:rsid w:val="00DE408C"/>
    <w:rsid w:val="00DF418D"/>
    <w:rsid w:val="00E02499"/>
    <w:rsid w:val="00E206EA"/>
    <w:rsid w:val="00E220F8"/>
    <w:rsid w:val="00E31558"/>
    <w:rsid w:val="00E34147"/>
    <w:rsid w:val="00E36EF7"/>
    <w:rsid w:val="00E37FC0"/>
    <w:rsid w:val="00E51C0F"/>
    <w:rsid w:val="00E571F1"/>
    <w:rsid w:val="00E61344"/>
    <w:rsid w:val="00E73904"/>
    <w:rsid w:val="00E7544B"/>
    <w:rsid w:val="00E76ED8"/>
    <w:rsid w:val="00E834DF"/>
    <w:rsid w:val="00E85239"/>
    <w:rsid w:val="00EA3263"/>
    <w:rsid w:val="00EC5A52"/>
    <w:rsid w:val="00EF203A"/>
    <w:rsid w:val="00F02B2C"/>
    <w:rsid w:val="00F0302A"/>
    <w:rsid w:val="00F27536"/>
    <w:rsid w:val="00F5359A"/>
    <w:rsid w:val="00F602C3"/>
    <w:rsid w:val="00F65C52"/>
    <w:rsid w:val="00F8296C"/>
    <w:rsid w:val="00FA2755"/>
    <w:rsid w:val="00FB3DE6"/>
    <w:rsid w:val="00FE08EA"/>
    <w:rsid w:val="0CE65B23"/>
    <w:rsid w:val="11B75189"/>
    <w:rsid w:val="1366111D"/>
    <w:rsid w:val="16FF49A5"/>
    <w:rsid w:val="176F519C"/>
    <w:rsid w:val="2FFACBB5"/>
    <w:rsid w:val="32814ABB"/>
    <w:rsid w:val="33E83471"/>
    <w:rsid w:val="3ADD2C50"/>
    <w:rsid w:val="476870E2"/>
    <w:rsid w:val="538C7D9E"/>
    <w:rsid w:val="53A30D6D"/>
    <w:rsid w:val="56FF2289"/>
    <w:rsid w:val="67FFCEF2"/>
    <w:rsid w:val="6EAEE1E8"/>
    <w:rsid w:val="6FEA7F4B"/>
    <w:rsid w:val="6FF1BDFF"/>
    <w:rsid w:val="73EB37FA"/>
    <w:rsid w:val="74FFB468"/>
    <w:rsid w:val="79F7EF14"/>
    <w:rsid w:val="7C361F56"/>
    <w:rsid w:val="7DEB0955"/>
    <w:rsid w:val="7F8DB27A"/>
    <w:rsid w:val="9EEF77F3"/>
    <w:rsid w:val="B6B5EEB9"/>
    <w:rsid w:val="BB66C0C2"/>
    <w:rsid w:val="BDFF144A"/>
    <w:rsid w:val="C3DF81AB"/>
    <w:rsid w:val="DDBF65CA"/>
    <w:rsid w:val="DFEFC8C2"/>
    <w:rsid w:val="F7ADCAEA"/>
    <w:rsid w:val="F7BFF273"/>
    <w:rsid w:val="FD3D90D9"/>
    <w:rsid w:val="FD53C181"/>
    <w:rsid w:val="FFF722B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ocked="1"/>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4"/>
      <w:szCs w:val="22"/>
      <w:lang w:val="en-US" w:eastAsia="zh-CN" w:bidi="ar-SA"/>
    </w:rPr>
  </w:style>
  <w:style w:type="character" w:default="1" w:styleId="9">
    <w:name w:val="Default Paragraph Font"/>
    <w:uiPriority w:val="0"/>
  </w:style>
  <w:style w:type="table" w:default="1" w:styleId="8">
    <w:name w:val="Normal Table"/>
    <w:semiHidden/>
    <w:uiPriority w:val="0"/>
    <w:tblPr>
      <w:tblStyle w:val="8"/>
      <w:tblLayout w:type="fixed"/>
      <w:tblCellMar>
        <w:top w:w="0" w:type="dxa"/>
        <w:left w:w="108" w:type="dxa"/>
        <w:bottom w:w="0" w:type="dxa"/>
        <w:right w:w="108" w:type="dxa"/>
      </w:tblCellMar>
    </w:tblPr>
  </w:style>
  <w:style w:type="paragraph" w:styleId="2">
    <w:name w:val="annotation text"/>
    <w:basedOn w:val="1"/>
    <w:next w:val="3"/>
    <w:semiHidden/>
    <w:uiPriority w:val="0"/>
    <w:pPr>
      <w:jc w:val="left"/>
    </w:pPr>
  </w:style>
  <w:style w:type="paragraph" w:customStyle="1" w:styleId="3">
    <w:name w:val="批注文字2"/>
    <w:basedOn w:val="1"/>
    <w:semiHidden/>
    <w:uiPriority w:val="0"/>
    <w:pPr>
      <w:jc w:val="left"/>
    </w:pPr>
  </w:style>
  <w:style w:type="paragraph" w:styleId="4">
    <w:name w:val="Balloon Text"/>
    <w:basedOn w:val="1"/>
    <w:link w:val="15"/>
    <w:uiPriority w:val="0"/>
    <w:rPr>
      <w:szCs w:val="18"/>
    </w:rPr>
  </w:style>
  <w:style w:type="paragraph" w:styleId="5">
    <w:name w:val="footer"/>
    <w:basedOn w:val="1"/>
    <w:link w:val="16"/>
    <w:uiPriority w:val="0"/>
    <w:pPr>
      <w:tabs>
        <w:tab w:val="center" w:pos="4153"/>
        <w:tab w:val="right" w:pos="8306"/>
      </w:tabs>
      <w:snapToGrid w:val="0"/>
      <w:jc w:val="left"/>
    </w:pPr>
    <w:rPr>
      <w:kern w:val="0"/>
      <w:sz w:val="18"/>
      <w:szCs w:val="18"/>
    </w:rPr>
  </w:style>
  <w:style w:type="paragraph" w:styleId="6">
    <w:name w:val="header"/>
    <w:basedOn w:val="1"/>
    <w:link w:val="17"/>
    <w:uiPriority w:val="0"/>
    <w:pPr>
      <w:tabs>
        <w:tab w:val="center" w:pos="4153"/>
        <w:tab w:val="right" w:pos="8306"/>
      </w:tabs>
      <w:snapToGrid w:val="0"/>
      <w:jc w:val="center"/>
    </w:pPr>
    <w:rPr>
      <w:kern w:val="0"/>
      <w:sz w:val="18"/>
      <w:szCs w:val="18"/>
    </w:rPr>
  </w:style>
  <w:style w:type="paragraph" w:styleId="7">
    <w:name w:val="annotation subject"/>
    <w:basedOn w:val="3"/>
    <w:next w:val="3"/>
    <w:semiHidden/>
    <w:uiPriority w:val="0"/>
    <w:rPr>
      <w:b/>
      <w:bCs/>
    </w:rPr>
  </w:style>
  <w:style w:type="character" w:styleId="10">
    <w:name w:val="annotation reference"/>
    <w:semiHidden/>
    <w:uiPriority w:val="0"/>
    <w:rPr>
      <w:sz w:val="21"/>
      <w:szCs w:val="21"/>
    </w:rPr>
  </w:style>
  <w:style w:type="paragraph" w:styleId="11">
    <w:name w:val=""/>
    <w:semiHidden/>
    <w:uiPriority w:val="99"/>
    <w:rPr>
      <w:kern w:val="2"/>
      <w:sz w:val="24"/>
      <w:szCs w:val="22"/>
      <w:lang w:val="en-US" w:eastAsia="zh-CN" w:bidi="ar-SA"/>
    </w:rPr>
  </w:style>
  <w:style w:type="paragraph" w:customStyle="1" w:styleId="12">
    <w:name w:val="div"/>
    <w:basedOn w:val="1"/>
    <w:uiPriority w:val="0"/>
    <w:pPr>
      <w:widowControl/>
      <w:jc w:val="left"/>
      <w:textAlignment w:val="baseline"/>
    </w:pPr>
    <w:rPr>
      <w:kern w:val="0"/>
      <w:szCs w:val="24"/>
    </w:rPr>
  </w:style>
  <w:style w:type="paragraph" w:customStyle="1" w:styleId="13">
    <w:name w:val="批注文字1"/>
    <w:basedOn w:val="1"/>
    <w:next w:val="3"/>
    <w:semiHidden/>
    <w:uiPriority w:val="0"/>
    <w:pPr>
      <w:jc w:val="left"/>
    </w:pPr>
  </w:style>
  <w:style w:type="paragraph" w:customStyle="1" w:styleId="14">
    <w:name w:val="样式1"/>
    <w:basedOn w:val="1"/>
    <w:uiPriority w:val="0"/>
    <w:pPr>
      <w:spacing w:line="440" w:lineRule="exact"/>
      <w:ind w:firstLine="560" w:firstLineChars="200"/>
    </w:pPr>
    <w:rPr>
      <w:rFonts w:ascii="宋体" w:hAnsi="宋体"/>
      <w:sz w:val="28"/>
      <w:szCs w:val="28"/>
    </w:rPr>
  </w:style>
  <w:style w:type="character" w:customStyle="1" w:styleId="15">
    <w:name w:val="批注框文本 字符1"/>
    <w:link w:val="4"/>
    <w:uiPriority w:val="0"/>
    <w:rPr>
      <w:kern w:val="2"/>
      <w:sz w:val="24"/>
      <w:szCs w:val="18"/>
    </w:rPr>
  </w:style>
  <w:style w:type="character" w:customStyle="1" w:styleId="16">
    <w:name w:val="页脚 字符"/>
    <w:link w:val="5"/>
    <w:locked/>
    <w:uiPriority w:val="0"/>
    <w:rPr>
      <w:rFonts w:cs="Times New Roman"/>
      <w:sz w:val="18"/>
      <w:szCs w:val="18"/>
    </w:rPr>
  </w:style>
  <w:style w:type="character" w:customStyle="1" w:styleId="17">
    <w:name w:val="页眉 字符"/>
    <w:link w:val="6"/>
    <w:locked/>
    <w:uiPriority w:val="0"/>
    <w:rPr>
      <w:rFonts w:cs="Times New Roman"/>
      <w:sz w:val="18"/>
      <w:szCs w:val="18"/>
    </w:rPr>
  </w:style>
  <w:style w:type="character" w:customStyle="1" w:styleId="18">
    <w:name w:val="批注框文本 字符"/>
    <w:semiHidden/>
    <w:locked/>
    <w:uiPriority w:val="0"/>
    <w:rPr>
      <w:kern w:val="2"/>
      <w:sz w:val="32"/>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6</Pages>
  <Words>395</Words>
  <Characters>2256</Characters>
  <Lines>18</Lines>
  <Paragraphs>5</Paragraphs>
  <TotalTime>6</TotalTime>
  <ScaleCrop>false</ScaleCrop>
  <LinksUpToDate>false</LinksUpToDate>
  <CharactersWithSpaces>2646</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2024-07-09T11:54:00Z</dcterms:created>
  <dc:creator>Y Y</dc:creator>
  <cp:lastModifiedBy>hp</cp:lastModifiedBy>
  <cp:lastPrinted>2024-06-30T17:18:00Z</cp:lastPrinted>
  <dcterms:modified xsi:type="dcterms:W3CDTF">2025-01-15T01:13:44Z</dcterms:modified>
  <dc:title>专利代理委托合同示范文本</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E952FA4A85DD465BA7C8F0E68F2AD29F_12</vt:lpwstr>
  </property>
</Properties>
</file>